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a Legfőbb Ügyészség </w:t>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Büntetés-végrehajtási Törvényességi Felügyeleti és Jogvédelmi Önálló Osztálya</w:t>
      </w:r>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részére</w: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…………………………………………………………..Vármegyei Főügyészség útján</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Tisztelt Legfőbb Ügyészség!</w:t>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Alulírott …………………………………………………………….... ……………………………….,</w:t>
      </w:r>
    </w:p>
    <w:p w:rsidR="00000000" w:rsidDel="00000000" w:rsidP="00000000" w:rsidRDefault="00000000" w:rsidRPr="00000000" w14:paraId="0000000C">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születési név:…………………………………………………………………………………….……, </w:t>
      </w:r>
    </w:p>
    <w:p w:rsidR="00000000" w:rsidDel="00000000" w:rsidP="00000000" w:rsidRDefault="00000000" w:rsidRPr="00000000" w14:paraId="0000000D">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születési hely, idő:………………………………………………………………..……………………, </w:t>
      </w:r>
    </w:p>
    <w:p w:rsidR="00000000" w:rsidDel="00000000" w:rsidP="00000000" w:rsidRDefault="00000000" w:rsidRPr="00000000" w14:paraId="0000000E">
      <w:pPr>
        <w:spacing w:before="12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anyja neve:</w:t>
      </w: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  ……………………………………………….…………………………Vármegyei Főügyészség </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számú állásfoglalásával  szemben </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felülvizsgálati kérelmet</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nyújtok be a törvényes határidőben. </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Hozzátartozóm, </w:t>
      </w:r>
    </w:p>
    <w:p w:rsidR="00000000" w:rsidDel="00000000" w:rsidP="00000000" w:rsidRDefault="00000000" w:rsidRPr="00000000" w14:paraId="0000001A">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aki </w:t>
      </w:r>
    </w:p>
    <w:p w:rsidR="00000000" w:rsidDel="00000000" w:rsidP="00000000" w:rsidRDefault="00000000" w:rsidRPr="00000000" w14:paraId="0000001B">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házastársam/élettársam/szülőm/gyermekem/unokám/stb,………………………………..………,</w:t>
      </w:r>
    </w:p>
    <w:p w:rsidR="00000000" w:rsidDel="00000000" w:rsidP="00000000" w:rsidRDefault="00000000" w:rsidRPr="00000000" w14:paraId="0000001C">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neve: ……………………………………………………………………………………………………,</w:t>
      </w:r>
    </w:p>
    <w:p w:rsidR="00000000" w:rsidDel="00000000" w:rsidP="00000000" w:rsidRDefault="00000000" w:rsidRPr="00000000" w14:paraId="0000001D">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születési neve: ………………………………………..……………………..…………………….….., </w:t>
      </w:r>
    </w:p>
    <w:p w:rsidR="00000000" w:rsidDel="00000000" w:rsidP="00000000" w:rsidRDefault="00000000" w:rsidRPr="00000000" w14:paraId="0000001E">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születési helye, ideje:…………………………………………………………………………….……, </w:t>
      </w:r>
    </w:p>
    <w:p w:rsidR="00000000" w:rsidDel="00000000" w:rsidP="00000000" w:rsidRDefault="00000000" w:rsidRPr="00000000" w14:paraId="0000001F">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anyja neve: ……………………………………………………………..………………………….…..,</w:t>
      </w:r>
    </w:p>
    <w:p w:rsidR="00000000" w:rsidDel="00000000" w:rsidP="00000000" w:rsidRDefault="00000000" w:rsidRPr="00000000" w14:paraId="00000020">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a………………………………………………………büntetés-végrehajtási intézetben van fogva. </w:t>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tényállás és a megelőző eljárások</w:t>
      </w: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Fent megnevezett hozzáztartozóm eddigi meglátogatásaira – a bv. intézet általános gyakorlatának megfelelően – olyan módon került sor, hogy köztünk térelválasztóként plexi került felállításra. Hozzátartozóm nagyon hiányzik nekem, szeretném közelről látni és jól hallani a hangját, megölelni őt, ezt a plexi jelentősen nehezíti, akadályozza.</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Azzal a kérelemmel fordultam ezért a büntetés-végrehajtási intézet parancsnokához, hogy hozzátartozómat  a következő beszélőn olyan módon látogathassam, hogy a látogatás során ne legyen közöttünk térelválasztó elem (plexi), és fizikai érintkezésre is lehetőségünk legyen.</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kérelmemet az intézetparancsnok elutasította, amellyel szemben  panasszal éltem. Panaszomat az Agglomerációs Központ Vezető Intézetének Parancsnoka elutasította.</w:t>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Főügyészséghez benyújtott panaszomban a büntetések, az intézkedések, egyes kényszerintézkedések és a szabálysértési elzárás végrehajtásáról szóló 2013. évi CCXL. törvény (a továbbiakban: Bv.tv.) rendelkezéseire hivatkozva leírtam, hogy tudomásom szerint sem az én, sem a fogvatartott hozzátartozóm magatartásával, személyével összefüggésben nem merült fel sem olyan biztonsági kockázat, amely a térelválasztó elem fenntartását, illetve a fizikai érintkezés tiltását indokolná a látogatásaim során.  </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panaszra adott, általam sérelmezett főügyészségi állásfoglalás a panasznak nem adott helyt, a Főügyészség nem intézkedett a jogsértő gyakorlat megszüntetéséről annak érdekében, hogy a látogatás során ne válasszon el bennünket plexi-fal a hozzátartozómmal, és lehetőségünk legyen fizikai érintkezésre is. </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felülvizsgálati kérelem érdemi tartalma</w:t>
      </w: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Az irányadó jogi szabályozás alapján álláspontom szerint csak akkor lehet jogszerű és indokolt a látogatás során a fogvatartott és hozzátartozója között a térelválasztó elem használata, a fizikai kontaktus tiltása, ha a fogvatartottal vagy a látogató családtagjával kapcsolatosan konkrét, egyedi biztonsági kockázat merül fel. Esetünkben ilyen kockázat nincs, arra a büntetés-végrehajtási intézet parancsnoka sem hivatkozott kérelmem elutasításakor, ahogy az Agglomerációs Központ Vezető Intézetének Parancsnoka és a Főügyészség sem. Álláspontom szerint nem felel meg az alábbiakban ismertetett jogi szabályozásnak és nemzetközi emberi jogi standardoknak az, hogy a bv. intézet nem folytatott le egyéniesített kockázatértékelést, és nem támasztotta alá jogszerű, hozzátartozóm magatartását vagy az én személyi körülményeimet, a korábbi látogatások tapasztalatait érintő indokolással azt, hogy a térelválasztó elem fenntartását jogszerűnek tekinti. Álláspontom szerint ezáltal a Főügyészség a vonatkozó jogszabályokat nem helyesen értékelte, így jogszerűtlen következtetésre jutott.</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Kiindulópontként rögzítendő, hogy a fogvatartott és családtagjainak egymással történő kapcsolattartása a családi élethez, a kapcsolattartáshoz való jog alapján alkotmányos védelmet élvez. Az Alaptörvény I. cikk (3) bekezdése értelmében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Az Alaptörvény VI. cikk (1) bekezdése szerint mindenkinek joga van ahhoz, hogy </w:t>
      </w:r>
      <w:r w:rsidDel="00000000" w:rsidR="00000000" w:rsidRPr="00000000">
        <w:rPr>
          <w:rFonts w:ascii="Arial" w:cs="Arial" w:eastAsia="Arial" w:hAnsi="Arial"/>
          <w:b w:val="1"/>
          <w:sz w:val="22"/>
          <w:szCs w:val="22"/>
          <w:rtl w:val="0"/>
        </w:rPr>
        <w:t xml:space="preserve">magán- és családi életét és jó hírnevét tiszteletben tartsák.</w:t>
      </w:r>
      <w:r w:rsidDel="00000000" w:rsidR="00000000" w:rsidRPr="00000000">
        <w:rPr>
          <w:rFonts w:ascii="Arial" w:cs="Arial" w:eastAsia="Arial" w:hAnsi="Arial"/>
          <w:sz w:val="22"/>
          <w:szCs w:val="22"/>
          <w:rtl w:val="0"/>
        </w:rPr>
        <w:t xml:space="preserve"> Ezen alapvető jognak a fogvatartottak speciális alkotmányos helyzetére figyelemmel megállapított tartalmát a Bv.tv. rögzíti, az ennél alacsonyabb szintű jogi szabályozás további, a törvényi kereteket érdemben szűkítő alapjogi korlátozást nem tartalmazhat.</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Bv.tv. 83.§ (4) bekezdése értelmében a szabadságvesztés végrehajtása során – a szabadságvesztés végrehajtási fokozatára, a bv. intézet rendjére és biztonságára figyelemmel – törekedni kell arra, hogy az elítélt életkörülményei közelítsenek a szabad élet általános körülményeihez, és ezáltal a szabadságvesztés káros hatásai enyhíthetők, illetve ellensúlyozhatók legyenek. A Bvtv. 83.§ (6) bekezdése rögzíti: a szabadságvesztés végrehajtása során az elítéltet csak a büntetés céljának eléréséhez szükséges mértékben lehet elkülöníteni a társadalom tagjaitól. Az elítélt számára biztosítani kell a büntetés céljával, valamint az intézet rendjével és biztonságával nem ellentétes családi, személyes és társadalmi kapcsolatok létesítését, fenntartását, illetve fejlesztését. A Bv.tv. 164.§ (6) bekezdése pedig kimondja, hogy az eredményes reintegráció érdekében elő kell segíteni, hogy az elítélt családi és egyéb kapcsolatait fenntartsa, fejlessze.</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Bv.tv. 172. § (1) bekezdése kimondja, hogy a szabadságvesztés végrehajtása során a bv. intézet az e fejezetben, valamint a végrehajtási fokozatokra és rezsimekre vonatkozó szabályok szerint, a társadalomba való beilleszkedés érdekében elősegíti, hogy az elítélt fenntarthassa és fejleszthesse hozzátartozóival, más személyekkel, valamint a reintegrációs célkitűzéseket elősegítő külső szervezetekkel való kapcsolatát. A 172.§ (2) bekezdése értelmében az elítélt kapcsolattartása az e törvényben meghatározottak szerint, a bv. intézet rendje és a fogvatartás biztonsága érdekében ellenőrizhető. A bv. intézet rendje és a fogvatartás biztonsága érdekében, vagy egészségügyi okból a kapcsolattartás korlátozásának is helye lehet.</w:t>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Bv.tv. 173. § (1) bekezdés d) pontja a kapcsolattartás formái között sorolja fel a látogató fogadását.  A látogató fogadására vonatkozó részletes szabályokat a Bv.tv. 177. § rögzíti, amelynek (3) bekezdése kimondja, hogy ha a bv. intézet biztonsága indokolja, a bv. intézet parancsnoka elrendelheti, hogy az elítélt biztonsági beszélő fülkében, vagy rácson keresztül beszélhet a látogatóval. A Bv.tv. 146. § (3) bekezdésének c) pontja a biztonsági elkülönítésre vonatkozó szabályok körében kimondja, hogy a biztonsági elkülönítés ideje alatt az elítélt látogatójával biztonsági beszélőfülkében vagy biztonságtechnikai eszközön keresztül érintkezhet. A Bv.tv. 147. § (7) bekezdésének d) pontja kimondja, hogy a szabadságvesztés végrehajtási fokozatára vonatkozó általános szabályok a biztonsági zárkába vagy részlegre helyezés esetén annak végrehajtási rendjéhez igazodnak. A biztonsági zárkába vagy részlegre helyezés esetén az elítélt látogatóval biztonsági beszélőfülkében vagy biztonságtechnikai eszközön keresztül érintkezhet, melytől a parancsnok engedélyével el lehet térni.</w:t>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kérdés kiemelt alapjogi jellegét mutatja a hazai és nemzetközi emberi jogi szervezetek gyakorlata is. </w:t>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Az alapvető jogok biztosának következetes gyakorlata szerint a családi kötelékek fenntartását, erősítését szolgálja a látogatófogadás, amit az intézet asztal mellett ülve, látogatóhelyiségben biztosít.  Az AJB-2084/2013 sz. ombudsmani jelentés is rámutatott arra, hogy az, ha az asztalok két oldalát egy fa korlát egymástól elválasztja, alkalmas lehet a fogvatartott és hozzátartozója emberi méltósághoz való joga korlátozására, és a kapcsolattartáshoz való jog érvényesülésének megakadályozására. (Ezt a megállapítást tartalmazzák az AJB-2862/2011 és az AJB-7205/2012. sz. jelentések is.)</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Az alapvető jogok biztosa a korábbi gyakorlatával összhangban az AJB-1262-29/2023. sz. jelentésében is rögzítette: a fogvatartott személyek védett magánszférájához tartozik a családtagokkal, barátokkal való kommunikáció, a személyes találkozás a látogatófogadás során, ennek gyakorolhatóságát az állam köteles megfelelő keretek és körülmények között biztosítani. „A magánszféra, családdal, barátokkal való kapcsolattartás fenntartása elengedhetetlen feltétele az elítéltek […] reszocializációjának, ezért az a lehető legtermészetesebb körülmények között kell, hogy megvalósuljon.” Az ombudsman ezért jelentésében megállapította, hogy </w:t>
      </w:r>
      <w:r w:rsidDel="00000000" w:rsidR="00000000" w:rsidRPr="00000000">
        <w:rPr>
          <w:rFonts w:ascii="Arial" w:cs="Arial" w:eastAsia="Arial" w:hAnsi="Arial"/>
          <w:b w:val="1"/>
          <w:sz w:val="22"/>
          <w:szCs w:val="22"/>
          <w:rtl w:val="0"/>
        </w:rPr>
        <w:t xml:space="preserve">a látogatóhelyiség olyan kialakítása, hogy az asztalt és a pultot térelválasztó elem választja el, sérti a fogvatartott és kapcsolattartója magán- és családi élet, kapcsolattartás tiszteletben tartásához való jogát.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Ha a fogvatartott és családja között semmilyen testi érintkezés (kézfogás, ölelés, puszi) nem történhet a látogatás elején és végén, sérülhet a fogvatartott és hozzá és hozzátartozója emberi méltósághoz való joga, valamint a magán- és családi élet tiszteletben tartásához való joga. </w:t>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Az alapvető jogok biztosa ezért az AJB-1262-29/2023. sz. jelentésében rámutatott: a látogatófogadás konkrét körülményeit minden fogvatartott esetében kellően differenciáltan, egyéni kockázatértékelést követően kell meghatározni. Az egyéniesítés szempontjait biztosítani kell annak érdekében, hogy a végrehajtás megfelelően szolgálja az egyéni megelőzési célok elérését. Az ombudsman ezért felkérte a büntetés-végrehajtás országos parancsnokát, hogy fontolja meg a csoportos látogatóhelyiségekben a térelválasztó elem megszüntetését.</w:t>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before="120" w:lineRule="auto"/>
        <w:jc w:val="both"/>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Az Európa Tanács Kínzást és az Embertelen vagy Megalázó Bánásmódot vagy Büntetést Megelőzni Hivatott Bizottsága (CPT) látogatásai során következetesen hangsúlyozta: </w:t>
      </w:r>
      <w:r w:rsidDel="00000000" w:rsidR="00000000" w:rsidRPr="00000000">
        <w:rPr>
          <w:rFonts w:ascii="Arial" w:cs="Arial" w:eastAsia="Arial" w:hAnsi="Arial"/>
          <w:b w:val="1"/>
          <w:sz w:val="22"/>
          <w:szCs w:val="22"/>
          <w:rtl w:val="0"/>
        </w:rPr>
        <w:t xml:space="preserve">a fogvatartottak és hozzátartozóik között a fizikai érintkezés lehetőségét főszabály szerint biztosítani kell,</w:t>
      </w:r>
      <w:r w:rsidDel="00000000" w:rsidR="00000000" w:rsidRPr="00000000">
        <w:rPr>
          <w:rFonts w:ascii="Arial" w:cs="Arial" w:eastAsia="Arial" w:hAnsi="Arial"/>
          <w:sz w:val="22"/>
          <w:szCs w:val="22"/>
          <w:rtl w:val="0"/>
        </w:rPr>
        <w:t xml:space="preserve"> ez csak kivételes esetben korlátozható. Így például 2013-as jelentésében a CPT arra tett javaslatot, hogy a Somogy Megyei Büntetés-végrehajtási Intézetben és a Sopronkőhidai Fegyház és Börtönben a látogatóhelyiségeket alakítsák át úgy, hogy a fogvatartottak megfelelő körülmények között fogadhassák a látogatókat; minden fogva tartottnak lehetőséget kell biztosítani különösen arra, hogy </w:t>
      </w:r>
      <w:r w:rsidDel="00000000" w:rsidR="00000000" w:rsidRPr="00000000">
        <w:rPr>
          <w:rFonts w:ascii="Arial" w:cs="Arial" w:eastAsia="Arial" w:hAnsi="Arial"/>
          <w:b w:val="1"/>
          <w:sz w:val="22"/>
          <w:szCs w:val="22"/>
          <w:rtl w:val="0"/>
        </w:rPr>
        <w:t xml:space="preserve">a családtagok fizikai elkülönítés nélkül látogathassák őket,</w:t>
      </w:r>
      <w:r w:rsidDel="00000000" w:rsidR="00000000" w:rsidRPr="00000000">
        <w:rPr>
          <w:rFonts w:ascii="Arial" w:cs="Arial" w:eastAsia="Arial" w:hAnsi="Arial"/>
          <w:sz w:val="22"/>
          <w:szCs w:val="22"/>
          <w:rtl w:val="0"/>
        </w:rPr>
        <w:t xml:space="preserve"> kivéve azokat az egyedi eseteket, amikor egyértelmű biztonsági aggályok merülhetnek fel (ld. </w:t>
      </w:r>
      <w:hyperlink r:id="rId7">
        <w:r w:rsidDel="00000000" w:rsidR="00000000" w:rsidRPr="00000000">
          <w:rPr>
            <w:rFonts w:ascii="Arial" w:cs="Arial" w:eastAsia="Arial" w:hAnsi="Arial"/>
            <w:color w:val="1155cc"/>
            <w:sz w:val="22"/>
            <w:szCs w:val="22"/>
            <w:u w:val="single"/>
            <w:rtl w:val="0"/>
          </w:rPr>
          <w:t xml:space="preserve">https://rm.coe.int/1680696b7f</w:t>
        </w:r>
      </w:hyperlink>
      <w:r w:rsidDel="00000000" w:rsidR="00000000" w:rsidRPr="00000000">
        <w:rPr>
          <w:rFonts w:ascii="Arial" w:cs="Arial" w:eastAsia="Arial" w:hAnsi="Arial"/>
          <w:sz w:val="22"/>
          <w:szCs w:val="22"/>
          <w:rtl w:val="0"/>
        </w:rPr>
        <w:t xml:space="preserve">, 112.§)</w:t>
      </w:r>
      <w:r w:rsidDel="00000000" w:rsidR="00000000" w:rsidRPr="00000000">
        <w:rPr>
          <w:rtl w:val="0"/>
        </w:rPr>
      </w:r>
    </w:p>
    <w:p w:rsidR="00000000" w:rsidDel="00000000" w:rsidP="00000000" w:rsidRDefault="00000000" w:rsidRPr="00000000" w14:paraId="00000047">
      <w:pPr>
        <w:spacing w:before="120" w:lineRule="auto"/>
        <w:jc w:val="both"/>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Hasonlóképpen, a 2018-as jelentésében a CPT a Budapesti és a Szegedi Fegyház és Börtönben található HSR-körlet kapcsán tett ajánlást, hogy a </w:t>
      </w:r>
      <w:r w:rsidDel="00000000" w:rsidR="00000000" w:rsidRPr="00000000">
        <w:rPr>
          <w:rFonts w:ascii="Arial" w:cs="Arial" w:eastAsia="Arial" w:hAnsi="Arial"/>
          <w:b w:val="1"/>
          <w:sz w:val="22"/>
          <w:szCs w:val="22"/>
          <w:rtl w:val="0"/>
        </w:rPr>
        <w:t xml:space="preserve">plexi válaszfal alkalmazásával történő látogatások elrendelése (valamint bármilyen más korlátozás) csak kivételes esetben fogadható el, és mindig egyedi, bizonyítékokon alapuló kockázatértékelésen kell alapulnia</w:t>
      </w:r>
      <w:r w:rsidDel="00000000" w:rsidR="00000000" w:rsidRPr="00000000">
        <w:rPr>
          <w:rFonts w:ascii="Arial" w:cs="Arial" w:eastAsia="Arial" w:hAnsi="Arial"/>
          <w:sz w:val="22"/>
          <w:szCs w:val="22"/>
          <w:rtl w:val="0"/>
        </w:rPr>
        <w:t xml:space="preserve"> (ld:</w:t>
      </w:r>
      <w:hyperlink r:id="rId8">
        <w:r w:rsidDel="00000000" w:rsidR="00000000" w:rsidRPr="00000000">
          <w:rPr>
            <w:rFonts w:ascii="Arial" w:cs="Arial" w:eastAsia="Arial" w:hAnsi="Arial"/>
            <w:color w:val="1155cc"/>
            <w:sz w:val="22"/>
            <w:szCs w:val="22"/>
            <w:u w:val="single"/>
            <w:rtl w:val="0"/>
          </w:rPr>
          <w:t xml:space="preserve">https://rm.coe.int/16809ce9ec</w:t>
        </w:r>
      </w:hyperlink>
      <w:r w:rsidDel="00000000" w:rsidR="00000000" w:rsidRPr="00000000">
        <w:rPr>
          <w:rFonts w:ascii="Arial" w:cs="Arial" w:eastAsia="Arial" w:hAnsi="Arial"/>
          <w:sz w:val="22"/>
          <w:szCs w:val="22"/>
          <w:rtl w:val="0"/>
        </w:rPr>
        <w:t xml:space="preserve"> 122§). </w:t>
      </w:r>
      <w:r w:rsidDel="00000000" w:rsidR="00000000" w:rsidRPr="00000000">
        <w:rPr>
          <w:rtl w:val="0"/>
        </w:rPr>
      </w:r>
    </w:p>
    <w:p w:rsidR="00000000" w:rsidDel="00000000" w:rsidP="00000000" w:rsidRDefault="00000000" w:rsidRPr="00000000" w14:paraId="00000048">
      <w:pPr>
        <w:spacing w:before="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before="120" w:lineRule="auto"/>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Az</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Emberi Jogok Európai Egyezményének 8. cikke rögzíti a magán- és családi élet tiszteletben tartásához fűződő jogot.</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4A">
      <w:pPr>
        <w:spacing w:before="12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B">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Az </w:t>
      </w:r>
      <w:r w:rsidDel="00000000" w:rsidR="00000000" w:rsidRPr="00000000">
        <w:rPr>
          <w:rFonts w:ascii="Arial" w:cs="Arial" w:eastAsia="Arial" w:hAnsi="Arial"/>
          <w:i w:val="1"/>
          <w:sz w:val="22"/>
          <w:szCs w:val="22"/>
          <w:rtl w:val="0"/>
        </w:rPr>
        <w:t xml:space="preserve">Emberi Jogok Európai Bíróságának</w:t>
      </w:r>
      <w:r w:rsidDel="00000000" w:rsidR="00000000" w:rsidRPr="00000000">
        <w:rPr>
          <w:rFonts w:ascii="Arial" w:cs="Arial" w:eastAsia="Arial" w:hAnsi="Arial"/>
          <w:sz w:val="22"/>
          <w:szCs w:val="22"/>
          <w:rtl w:val="0"/>
        </w:rPr>
        <w:t xml:space="preserve"> (EJEB) a Khoroshenko-ügyben (ld.: </w:t>
      </w:r>
      <w:r w:rsidDel="00000000" w:rsidR="00000000" w:rsidRPr="00000000">
        <w:rPr>
          <w:rFonts w:ascii="Arial" w:cs="Arial" w:eastAsia="Arial" w:hAnsi="Arial"/>
          <w:sz w:val="22"/>
          <w:szCs w:val="22"/>
          <w:highlight w:val="white"/>
          <w:rtl w:val="0"/>
        </w:rPr>
        <w:t xml:space="preserve">kérelem száma: </w:t>
      </w:r>
      <w:hyperlink r:id="rId9">
        <w:r w:rsidDel="00000000" w:rsidR="00000000" w:rsidRPr="00000000">
          <w:rPr>
            <w:rFonts w:ascii="Arial" w:cs="Arial" w:eastAsia="Arial" w:hAnsi="Arial"/>
            <w:color w:val="0069d6"/>
            <w:sz w:val="22"/>
            <w:szCs w:val="22"/>
            <w:highlight w:val="white"/>
            <w:u w:val="single"/>
            <w:rtl w:val="0"/>
          </w:rPr>
          <w:t xml:space="preserve">41418/04</w:t>
        </w:r>
      </w:hyperlink>
      <w:r w:rsidDel="00000000" w:rsidR="00000000" w:rsidRPr="00000000">
        <w:rPr>
          <w:rFonts w:ascii="Arial" w:cs="Arial" w:eastAsia="Arial" w:hAnsi="Arial"/>
          <w:sz w:val="22"/>
          <w:szCs w:val="22"/>
          <w:highlight w:val="white"/>
          <w:rtl w:val="0"/>
        </w:rPr>
        <w:t xml:space="preserve"> </w:t>
      </w:r>
      <w:hyperlink r:id="rId10">
        <w:r w:rsidDel="00000000" w:rsidR="00000000" w:rsidRPr="00000000">
          <w:rPr>
            <w:rFonts w:ascii="Arial" w:cs="Arial" w:eastAsia="Arial" w:hAnsi="Arial"/>
            <w:color w:val="1155cc"/>
            <w:sz w:val="22"/>
            <w:szCs w:val="22"/>
            <w:u w:val="single"/>
            <w:rtl w:val="0"/>
          </w:rPr>
          <w:t xml:space="preserve">https://hudoc.echr.coe.int/eng?i=001-156006</w:t>
        </w:r>
      </w:hyperlink>
      <w:r w:rsidDel="00000000" w:rsidR="00000000" w:rsidRPr="00000000">
        <w:rPr>
          <w:rFonts w:ascii="Arial" w:cs="Arial" w:eastAsia="Arial" w:hAnsi="Arial"/>
          <w:sz w:val="22"/>
          <w:szCs w:val="22"/>
          <w:rtl w:val="0"/>
        </w:rPr>
        <w:t xml:space="preserve">) összefoglalt gyakorlata szerint a látogatási jog tekintetében a fogvatartott családi élet tiszteletben tartásához való jogának lényeges része, hogy a börtönhatóságok lehetővé tegyék számára, vagy szükség esetén segítsék őt abban, hogy kapcsolatot tartson fenn a közeli családtagjaival. Ugyanakkor, a fogvatartottak külvilággal való kapcsolatainak bizonyos mértékű ellenőrzése szükséges, és az önmagában nem összeegyeztethetetlen az Emberi Jogok Európai Egyezményével. A különleges  látogatási szabályok tekintetében azonban különbséget kell tenni egyfelől a nyomozati szakban való alkalmazásuk között, amikor az ilyen intézkedések észszerűen szükségesnek tekinthetők az elérni kívánt jogos cél megvalósítása érdekében, másfelől pedig az ilyen szabályok meghosszabbított alkalmazása között. Hasonlóképpen, a különleges biztonsági fokozatú büntetés-végrehajtási intézetekben indokolt lehet a látogatók fizikai elkülönítése az intézet biztonságának érdekében, vagy annak megakadályozása céljából, hogy a fogvatartott családi csatornákon keresztül kapcsolatba lépjen bűnözői körökkel. </w:t>
      </w:r>
      <w:r w:rsidDel="00000000" w:rsidR="00000000" w:rsidRPr="00000000">
        <w:rPr>
          <w:rFonts w:ascii="Arial" w:cs="Arial" w:eastAsia="Arial" w:hAnsi="Arial"/>
          <w:b w:val="1"/>
          <w:sz w:val="22"/>
          <w:szCs w:val="22"/>
          <w:rtl w:val="0"/>
        </w:rPr>
        <w:t xml:space="preserve">A közvetlen érintkezés tartós tilalma azonban csak akkor igazolható, ha ennek tényleges és folyamatos kockázata áll fenn. </w:t>
      </w:r>
      <w:r w:rsidDel="00000000" w:rsidR="00000000" w:rsidRPr="00000000">
        <w:rPr>
          <w:rtl w:val="0"/>
        </w:rPr>
      </w:r>
    </w:p>
    <w:p w:rsidR="00000000" w:rsidDel="00000000" w:rsidP="00000000" w:rsidRDefault="00000000" w:rsidRPr="00000000" w14:paraId="0000004C">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Horych-ügyben (ld.: kérelem száma:</w:t>
      </w:r>
      <w:r w:rsidDel="00000000" w:rsidR="00000000" w:rsidRPr="00000000">
        <w:rPr>
          <w:rFonts w:ascii="Arial" w:cs="Arial" w:eastAsia="Arial" w:hAnsi="Arial"/>
          <w:sz w:val="22"/>
          <w:szCs w:val="22"/>
          <w:highlight w:val="white"/>
          <w:rtl w:val="0"/>
        </w:rPr>
        <w:t xml:space="preserve"> </w:t>
      </w:r>
      <w:hyperlink r:id="rId11">
        <w:r w:rsidDel="00000000" w:rsidR="00000000" w:rsidRPr="00000000">
          <w:rPr>
            <w:rFonts w:ascii="Arial" w:cs="Arial" w:eastAsia="Arial" w:hAnsi="Arial"/>
            <w:color w:val="0069d6"/>
            <w:sz w:val="22"/>
            <w:szCs w:val="22"/>
            <w:highlight w:val="white"/>
            <w:u w:val="single"/>
            <w:rtl w:val="0"/>
          </w:rPr>
          <w:t xml:space="preserve">13621/08</w:t>
        </w:r>
      </w:hyperlink>
      <w:r w:rsidDel="00000000" w:rsidR="00000000" w:rsidRPr="00000000">
        <w:rPr>
          <w:rFonts w:ascii="Arial" w:cs="Arial" w:eastAsia="Arial" w:hAnsi="Arial"/>
          <w:sz w:val="22"/>
          <w:szCs w:val="22"/>
          <w:highlight w:val="white"/>
          <w:rtl w:val="0"/>
        </w:rPr>
        <w:t xml:space="preserve">, </w:t>
      </w:r>
      <w:hyperlink r:id="rId12">
        <w:r w:rsidDel="00000000" w:rsidR="00000000" w:rsidRPr="00000000">
          <w:rPr>
            <w:rFonts w:ascii="Arial" w:cs="Arial" w:eastAsia="Arial" w:hAnsi="Arial"/>
            <w:color w:val="1155cc"/>
            <w:sz w:val="22"/>
            <w:szCs w:val="22"/>
            <w:u w:val="single"/>
            <w:rtl w:val="0"/>
          </w:rPr>
          <w:t xml:space="preserve">https://hudoc.echr.coe.int/eng?i=001-110440</w:t>
        </w:r>
      </w:hyperlink>
      <w:r w:rsidDel="00000000" w:rsidR="00000000" w:rsidRPr="00000000">
        <w:rPr>
          <w:rFonts w:ascii="Arial" w:cs="Arial" w:eastAsia="Arial" w:hAnsi="Arial"/>
          <w:b w:val="1"/>
          <w:sz w:val="22"/>
          <w:szCs w:val="22"/>
          <w:vertAlign w:val="superscript"/>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az EJEB rendkívül súlyos cselekmények (egyebek mellett bűnszervezetben elkövetett kábítószer- és fegyverkereskedelem és fegyveres rablás)  miatt elítélt fogvatartott vonatkozásában is arra a következtetésre jutott, hogy </w:t>
      </w:r>
      <w:r w:rsidDel="00000000" w:rsidR="00000000" w:rsidRPr="00000000">
        <w:rPr>
          <w:rFonts w:ascii="Arial" w:cs="Arial" w:eastAsia="Arial" w:hAnsi="Arial"/>
          <w:b w:val="1"/>
          <w:sz w:val="22"/>
          <w:szCs w:val="22"/>
          <w:rtl w:val="0"/>
        </w:rPr>
        <w:t xml:space="preserve">egyezménysértő volt, hogy a panaszos nem fogadhatta fizikai elkülönítés nélkül a feleségét és lányait, </w:t>
      </w:r>
      <w:r w:rsidDel="00000000" w:rsidR="00000000" w:rsidRPr="00000000">
        <w:rPr>
          <w:rFonts w:ascii="Arial" w:cs="Arial" w:eastAsia="Arial" w:hAnsi="Arial"/>
          <w:sz w:val="22"/>
          <w:szCs w:val="22"/>
          <w:rtl w:val="0"/>
        </w:rPr>
        <w:t xml:space="preserve">mivel bár a panaszos elleni vádak természete alapján figyelembe lehetett venni annak általános kockázatát, hogy a panaszos megpróbál kapcsolatba lépni bűnözői körökkel, „a Bíróság úgy látja, hogy sem a felesége első látogatása [amely nem fizikai elkülönítés mellett zajlott], sem bármilyen további esemény, sem pedig a kérelmezőnek a fogvatartás alatti magatartása nem utalt arra, hogy akár a feleségét, akár a lányait arra kívánta volna használni, hogy bűnözői körökkel lépjen kapcsolatba, vagy hogy a nyílt [azaz fizikai elkülönítés nélküli] látogatások bármilyen módon veszélyeztették volna az intézet biztonságát.”</w:t>
      </w:r>
    </w:p>
    <w:p w:rsidR="00000000" w:rsidDel="00000000" w:rsidP="00000000" w:rsidRDefault="00000000" w:rsidRPr="00000000" w14:paraId="0000004D">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Különösen aktuális az  EJEB 2023. október 12-i döntése </w:t>
      </w:r>
      <w:r w:rsidDel="00000000" w:rsidR="00000000" w:rsidRPr="00000000">
        <w:rPr>
          <w:rFonts w:ascii="Arial" w:cs="Arial" w:eastAsia="Arial" w:hAnsi="Arial"/>
          <w:b w:val="1"/>
          <w:sz w:val="22"/>
          <w:szCs w:val="22"/>
          <w:rtl w:val="0"/>
        </w:rPr>
        <w:t xml:space="preserve">a Takó és Visztné kontra Magyarország ügyben </w:t>
      </w:r>
      <w:r w:rsidDel="00000000" w:rsidR="00000000" w:rsidRPr="00000000">
        <w:rPr>
          <w:rFonts w:ascii="Arial" w:cs="Arial" w:eastAsia="Arial" w:hAnsi="Arial"/>
          <w:sz w:val="22"/>
          <w:szCs w:val="22"/>
          <w:rtl w:val="0"/>
        </w:rPr>
        <w:t xml:space="preserve">(kérelmek száma: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82939/17 és 27166/19 </w:t>
      </w:r>
      <w:hyperlink r:id="rId13">
        <w:r w:rsidDel="00000000" w:rsidR="00000000" w:rsidRPr="00000000">
          <w:rPr>
            <w:rFonts w:ascii="Arial" w:cs="Arial" w:eastAsia="Arial" w:hAnsi="Arial"/>
            <w:color w:val="1155cc"/>
            <w:sz w:val="22"/>
            <w:szCs w:val="22"/>
            <w:u w:val="single"/>
            <w:rtl w:val="0"/>
          </w:rPr>
          <w:t xml:space="preserve">https://hudoc.echr.coe.int/eng#{%22appno%22:[%2282939/17%22],%22itemid%22:[%22001-228027%22</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 fogvatartott édesanyja és felesége, mint kérelmezők a családi- és magánélethez fűződő jogukat ért sérelem miatt fordultak az EJEB-hez, mert amikor hozzátartozójukat látogatták meg a börtönben, akkor őket plexifal választotta el egymástól. </w:t>
      </w:r>
    </w:p>
    <w:p w:rsidR="00000000" w:rsidDel="00000000" w:rsidP="00000000" w:rsidRDefault="00000000" w:rsidRPr="00000000" w14:paraId="0000004E">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Az EJEB ítélete szerint a különböző biztonsági intézkedések, így </w:t>
      </w:r>
      <w:r w:rsidDel="00000000" w:rsidR="00000000" w:rsidRPr="00000000">
        <w:rPr>
          <w:rFonts w:ascii="Arial" w:cs="Arial" w:eastAsia="Arial" w:hAnsi="Arial"/>
          <w:b w:val="1"/>
          <w:sz w:val="22"/>
          <w:szCs w:val="22"/>
          <w:rtl w:val="0"/>
        </w:rPr>
        <w:t xml:space="preserve">a fogvatartott és a látogató elkülönítése (például plexivel), akkor lehetnek jogszerűek, akkor, ha azokat biztonsági megfontolások indokolják</w:t>
      </w:r>
      <w:r w:rsidDel="00000000" w:rsidR="00000000" w:rsidRPr="00000000">
        <w:rPr>
          <w:rFonts w:ascii="Arial" w:cs="Arial" w:eastAsia="Arial" w:hAnsi="Arial"/>
          <w:sz w:val="22"/>
          <w:szCs w:val="22"/>
          <w:rtl w:val="0"/>
        </w:rPr>
        <w:t xml:space="preserve">, nem minősülhetnek ugyanakkor szükségesnek, ha nem áll fenn biztonsági veszély. </w:t>
      </w:r>
      <w:r w:rsidDel="00000000" w:rsidR="00000000" w:rsidRPr="00000000">
        <w:rPr>
          <w:rFonts w:ascii="Arial" w:cs="Arial" w:eastAsia="Arial" w:hAnsi="Arial"/>
          <w:b w:val="1"/>
          <w:sz w:val="22"/>
          <w:szCs w:val="22"/>
          <w:rtl w:val="0"/>
        </w:rPr>
        <w:t xml:space="preserve">Az államnak nincs szabad keze abban, hogy általános jellegű korlátozásokat vezessen be</w:t>
      </w:r>
      <w:r w:rsidDel="00000000" w:rsidR="00000000" w:rsidRPr="00000000">
        <w:rPr>
          <w:rFonts w:ascii="Arial" w:cs="Arial" w:eastAsia="Arial" w:hAnsi="Arial"/>
          <w:sz w:val="22"/>
          <w:szCs w:val="22"/>
          <w:rtl w:val="0"/>
        </w:rPr>
        <w:t xml:space="preserve">, amelyek nélkülöznek mindenfajta rugalmasságot annak meghatározásában, hogy a korlátozások a konkrét eset körülményeire figyelemmel megfelelőek vagy szükségesek.</w:t>
      </w:r>
    </w:p>
    <w:p w:rsidR="00000000" w:rsidDel="00000000" w:rsidP="00000000" w:rsidRDefault="00000000" w:rsidRPr="00000000" w14:paraId="0000004F">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Az EJEB ezért arra a következtetésre jutott, hogy </w:t>
      </w:r>
      <w:r w:rsidDel="00000000" w:rsidR="00000000" w:rsidRPr="00000000">
        <w:rPr>
          <w:rFonts w:ascii="Arial" w:cs="Arial" w:eastAsia="Arial" w:hAnsi="Arial"/>
          <w:b w:val="1"/>
          <w:sz w:val="22"/>
          <w:szCs w:val="22"/>
          <w:rtl w:val="0"/>
        </w:rPr>
        <w:t xml:space="preserve">a bv. intézetnek egyénileg, az adott fogvatartott magatartására, személyes jellemzőire figyelemmel kell meghatároznia azt a biztonsági veszélyt, amely alapján a látogatófogadás korlátozását kívánja előírni</w:t>
      </w:r>
      <w:r w:rsidDel="00000000" w:rsidR="00000000" w:rsidRPr="00000000">
        <w:rPr>
          <w:rFonts w:ascii="Arial" w:cs="Arial" w:eastAsia="Arial" w:hAnsi="Arial"/>
          <w:sz w:val="22"/>
          <w:szCs w:val="22"/>
          <w:rtl w:val="0"/>
        </w:rPr>
        <w:t xml:space="preserve">. Tehát a korlátozásra vonatkozó döntésnek egyedinek, személyre szabottnak kell lennie. A kérelmezők és fogva tartott hozzátartozójuk ügyében nem minősült megfelelő, egyedi indoknak önmagában az, hogy az érintett fogvatartott súlyos bűncselekmények miatt volt letartóztatásban. Az EJEB döntését arra a megfontolásra is alapította, hogy nem volt olyan körülmény, ami arra utalt volna, hogy a korlátozás nélküli látogatások és a kérelmezők a fogvatartott hozzátartozójukkal való közvetlen kapcsolata veszélyeztette volna a börtön biztonságát, erre vonatkozó érvet az állam nem tudott bemutatni. A családtagok biztonsági elkülönítése rutindöntés volt, nem pedig valamely fennálló biztonsági kockázatra vonatkozó reakció.</w:t>
      </w:r>
    </w:p>
    <w:p w:rsidR="00000000" w:rsidDel="00000000" w:rsidP="00000000" w:rsidRDefault="00000000" w:rsidRPr="00000000" w14:paraId="00000050">
      <w:pPr>
        <w:spacing w:before="12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Az EJEB ezért arra a következtetésre jutott, hogy a hatóságok által alkalmazott intézkedések a kérelmezők látogatáshoz fűződő joga és a magas biztonsági kockázatú fogvatartott rezsimje által támasztott biztonsági követelmények közötti egyensúlyt sértették, valamint </w:t>
      </w:r>
      <w:r w:rsidDel="00000000" w:rsidR="00000000" w:rsidRPr="00000000">
        <w:rPr>
          <w:rFonts w:ascii="Arial" w:cs="Arial" w:eastAsia="Arial" w:hAnsi="Arial"/>
          <w:b w:val="1"/>
          <w:sz w:val="22"/>
          <w:szCs w:val="22"/>
          <w:rtl w:val="0"/>
        </w:rPr>
        <w:t xml:space="preserve">sértették a kérelmezők magán- és családi élethez fűződő jogát.</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fenti jogszabályok és joggyakorlat alapján</w:t>
      </w:r>
      <w:r w:rsidDel="00000000" w:rsidR="00000000" w:rsidRPr="00000000">
        <w:rPr>
          <w:rFonts w:ascii="Arial" w:cs="Arial" w:eastAsia="Arial" w:hAnsi="Arial"/>
          <w:b w:val="1"/>
          <w:sz w:val="22"/>
          <w:szCs w:val="22"/>
          <w:rtl w:val="0"/>
        </w:rPr>
        <w:t xml:space="preserve"> a fizikai </w:t>
      </w:r>
      <w:r w:rsidDel="00000000" w:rsidR="00000000" w:rsidRPr="00000000">
        <w:rPr>
          <w:rFonts w:ascii="Arial" w:cs="Arial" w:eastAsia="Arial" w:hAnsi="Arial"/>
          <w:sz w:val="22"/>
          <w:szCs w:val="22"/>
          <w:rtl w:val="0"/>
        </w:rPr>
        <w:t xml:space="preserve">érintkezés</w:t>
      </w:r>
      <w:r w:rsidDel="00000000" w:rsidR="00000000" w:rsidRPr="00000000">
        <w:rPr>
          <w:rFonts w:ascii="Arial" w:cs="Arial" w:eastAsia="Arial" w:hAnsi="Arial"/>
          <w:b w:val="1"/>
          <w:sz w:val="22"/>
          <w:szCs w:val="22"/>
          <w:rtl w:val="0"/>
        </w:rPr>
        <w:t xml:space="preserve"> tiltására csak egyéni magatartáshoz vagy más személyes körülményhez kapcsolódóan, egyedileg indokolt esetben kerülhet sor</w:t>
      </w:r>
      <w:r w:rsidDel="00000000" w:rsidR="00000000" w:rsidRPr="00000000">
        <w:rPr>
          <w:rFonts w:ascii="Arial" w:cs="Arial" w:eastAsia="Arial" w:hAnsi="Arial"/>
          <w:sz w:val="22"/>
          <w:szCs w:val="22"/>
          <w:rtl w:val="0"/>
        </w:rPr>
        <w:t xml:space="preserve">. Ezeket a körülményeket szükséges mérlegelni annak értékelése során, hogy indokolt illetve jogszerű-e a térelválasztó elem alkalmazása a konkrét esetben. Tekintettel arra, hogy esetünkben nem merült fel hivatkozás bármilyen jellegű személyes biztonsági kockázatra, és annak vizsgálatát sem végezte el a Főügyészség állásfoglalásában, az állásfoglalása nem felel meg az irányadó jogi szabályozásnak.</w:t>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Indítvány</w:t>
      </w: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Kérem a T. Legfőbb Ügyészséget, hogy szíveskedjék intézkedni a Főügyészség állásfoglalásának a jelen indítványban foglalt szempontok szerinti felülvizsgálatáról. Kérem, hogy az alapvető jogaim biztosítása és a törvénysértő gyakorlat megszüntetése érdekében szíveskedjen </w:t>
      </w:r>
      <w:r w:rsidDel="00000000" w:rsidR="00000000" w:rsidRPr="00000000">
        <w:rPr>
          <w:rFonts w:ascii="Arial" w:cs="Arial" w:eastAsia="Arial" w:hAnsi="Arial"/>
          <w:sz w:val="22"/>
          <w:szCs w:val="22"/>
          <w:rtl w:val="0"/>
        </w:rPr>
        <w:t xml:space="preserve">intézkedni</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5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Hely, dátum:</w:t>
      </w:r>
    </w:p>
    <w:p w:rsidR="00000000" w:rsidDel="00000000" w:rsidP="00000000" w:rsidRDefault="00000000" w:rsidRPr="00000000" w14:paraId="0000005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Aláírás: </w:t>
      </w:r>
    </w:p>
    <w:sectPr>
      <w:footerReference r:id="rId14"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785"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rsid w:val="006870A7"/>
    <w:pPr>
      <w:spacing w:after="0" w:line="240" w:lineRule="auto"/>
    </w:pPr>
    <w:rPr>
      <w:rFonts w:ascii="Times New Roman" w:cs="Times New Roman" w:eastAsia="Times New Roman" w:hAnsi="Times New Roman"/>
      <w:kern w:val="0"/>
      <w:sz w:val="24"/>
      <w:szCs w:val="24"/>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Feladcme" w:customStyle="1">
    <w:name w:val="Feladó címe"/>
    <w:rsid w:val="00514169"/>
    <w:pPr>
      <w:spacing w:after="0" w:line="240" w:lineRule="atLeast"/>
      <w:jc w:val="center"/>
    </w:pPr>
    <w:rPr>
      <w:rFonts w:ascii="Garamond" w:cs="Times New Roman" w:eastAsia="Times New Roman" w:hAnsi="Garamond"/>
      <w:caps w:val="1"/>
      <w:spacing w:val="30"/>
      <w:kern w:val="0"/>
      <w:sz w:val="15"/>
      <w:szCs w:val="20"/>
    </w:rPr>
  </w:style>
  <w:style w:type="character" w:styleId="Hiperhivatkozs">
    <w:name w:val="Hyperlink"/>
    <w:rsid w:val="00514169"/>
    <w:rPr>
      <w:color w:val="0000ff"/>
      <w:u w:val="single"/>
    </w:rPr>
  </w:style>
  <w:style w:type="character" w:styleId="Jegyzethivatkozs">
    <w:name w:val="annotation reference"/>
    <w:basedOn w:val="Bekezdsalapbettpusa"/>
    <w:uiPriority w:val="99"/>
    <w:semiHidden w:val="1"/>
    <w:unhideWhenUsed w:val="1"/>
    <w:rsid w:val="00514169"/>
    <w:rPr>
      <w:sz w:val="16"/>
      <w:szCs w:val="16"/>
    </w:rPr>
  </w:style>
  <w:style w:type="paragraph" w:styleId="Listaszerbekezds">
    <w:name w:val="List Paragraph"/>
    <w:basedOn w:val="Norml"/>
    <w:uiPriority w:val="34"/>
    <w:qFormat w:val="1"/>
    <w:rsid w:val="00514169"/>
    <w:pPr>
      <w:ind w:left="720"/>
      <w:contextualSpacing w:val="1"/>
    </w:pPr>
  </w:style>
  <w:style w:type="paragraph" w:styleId="Jegyzetszveg">
    <w:name w:val="annotation text"/>
    <w:basedOn w:val="Norml"/>
    <w:link w:val="JegyzetszvegChar"/>
    <w:uiPriority w:val="99"/>
    <w:unhideWhenUsed w:val="1"/>
    <w:rsid w:val="00B94FFE"/>
    <w:rPr>
      <w:sz w:val="20"/>
      <w:szCs w:val="20"/>
    </w:rPr>
  </w:style>
  <w:style w:type="character" w:styleId="JegyzetszvegChar" w:customStyle="1">
    <w:name w:val="Jegyzetszöveg Char"/>
    <w:basedOn w:val="Bekezdsalapbettpusa"/>
    <w:link w:val="Jegyzetszveg"/>
    <w:uiPriority w:val="99"/>
    <w:rsid w:val="00B94FFE"/>
    <w:rPr>
      <w:rFonts w:ascii="Times New Roman" w:cs="Times New Roman" w:eastAsia="Times New Roman" w:hAnsi="Times New Roman"/>
      <w:kern w:val="0"/>
      <w:sz w:val="20"/>
      <w:szCs w:val="20"/>
      <w:lang w:eastAsia="hu-HU"/>
    </w:rPr>
  </w:style>
  <w:style w:type="paragraph" w:styleId="Megjegyzstrgya">
    <w:name w:val="annotation subject"/>
    <w:basedOn w:val="Jegyzetszveg"/>
    <w:next w:val="Jegyzetszveg"/>
    <w:link w:val="MegjegyzstrgyaChar"/>
    <w:uiPriority w:val="99"/>
    <w:semiHidden w:val="1"/>
    <w:unhideWhenUsed w:val="1"/>
    <w:rsid w:val="00B94FFE"/>
    <w:rPr>
      <w:b w:val="1"/>
      <w:bCs w:val="1"/>
    </w:rPr>
  </w:style>
  <w:style w:type="character" w:styleId="MegjegyzstrgyaChar" w:customStyle="1">
    <w:name w:val="Megjegyzés tárgya Char"/>
    <w:basedOn w:val="JegyzetszvegChar"/>
    <w:link w:val="Megjegyzstrgya"/>
    <w:uiPriority w:val="99"/>
    <w:semiHidden w:val="1"/>
    <w:rsid w:val="00B94FFE"/>
    <w:rPr>
      <w:rFonts w:ascii="Times New Roman" w:cs="Times New Roman" w:eastAsia="Times New Roman" w:hAnsi="Times New Roman"/>
      <w:b w:val="1"/>
      <w:bCs w:val="1"/>
      <w:kern w:val="0"/>
      <w:sz w:val="20"/>
      <w:szCs w:val="20"/>
      <w:lang w:eastAsia="hu-HU"/>
    </w:rPr>
  </w:style>
  <w:style w:type="paragraph" w:styleId="Buborkszveg">
    <w:name w:val="Balloon Text"/>
    <w:basedOn w:val="Norml"/>
    <w:link w:val="BuborkszvegChar"/>
    <w:uiPriority w:val="99"/>
    <w:semiHidden w:val="1"/>
    <w:unhideWhenUsed w:val="1"/>
    <w:rsid w:val="00B94FFE"/>
    <w:rPr>
      <w:rFonts w:ascii="Segoe UI" w:cs="Segoe UI" w:hAnsi="Segoe UI"/>
      <w:sz w:val="18"/>
      <w:szCs w:val="18"/>
    </w:rPr>
  </w:style>
  <w:style w:type="character" w:styleId="BuborkszvegChar" w:customStyle="1">
    <w:name w:val="Buborékszöveg Char"/>
    <w:basedOn w:val="Bekezdsalapbettpusa"/>
    <w:link w:val="Buborkszveg"/>
    <w:uiPriority w:val="99"/>
    <w:semiHidden w:val="1"/>
    <w:rsid w:val="00B94FFE"/>
    <w:rPr>
      <w:rFonts w:ascii="Segoe UI" w:cs="Segoe UI" w:eastAsia="Times New Roman" w:hAnsi="Segoe UI"/>
      <w:kern w:val="0"/>
      <w:sz w:val="18"/>
      <w:szCs w:val="18"/>
      <w:lang w:eastAsia="hu-HU"/>
    </w:rPr>
  </w:style>
  <w:style w:type="paragraph" w:styleId="lfej">
    <w:name w:val="header"/>
    <w:basedOn w:val="Norml"/>
    <w:link w:val="lfejChar"/>
    <w:uiPriority w:val="99"/>
    <w:unhideWhenUsed w:val="1"/>
    <w:rsid w:val="00C3792A"/>
    <w:pPr>
      <w:tabs>
        <w:tab w:val="center" w:pos="4536"/>
        <w:tab w:val="right" w:pos="9072"/>
      </w:tabs>
    </w:pPr>
  </w:style>
  <w:style w:type="character" w:styleId="lfejChar" w:customStyle="1">
    <w:name w:val="Élőfej Char"/>
    <w:basedOn w:val="Bekezdsalapbettpusa"/>
    <w:link w:val="lfej"/>
    <w:uiPriority w:val="99"/>
    <w:rsid w:val="00C3792A"/>
    <w:rPr>
      <w:rFonts w:ascii="Times New Roman" w:cs="Times New Roman" w:eastAsia="Times New Roman" w:hAnsi="Times New Roman"/>
      <w:kern w:val="0"/>
      <w:sz w:val="24"/>
      <w:szCs w:val="24"/>
      <w:lang w:eastAsia="hu-HU"/>
    </w:rPr>
  </w:style>
  <w:style w:type="paragraph" w:styleId="llb">
    <w:name w:val="footer"/>
    <w:basedOn w:val="Norml"/>
    <w:link w:val="llbChar"/>
    <w:uiPriority w:val="99"/>
    <w:unhideWhenUsed w:val="1"/>
    <w:rsid w:val="00C3792A"/>
    <w:pPr>
      <w:tabs>
        <w:tab w:val="center" w:pos="4536"/>
        <w:tab w:val="right" w:pos="9072"/>
      </w:tabs>
    </w:pPr>
  </w:style>
  <w:style w:type="character" w:styleId="llbChar" w:customStyle="1">
    <w:name w:val="Élőláb Char"/>
    <w:basedOn w:val="Bekezdsalapbettpusa"/>
    <w:link w:val="llb"/>
    <w:uiPriority w:val="99"/>
    <w:rsid w:val="00C3792A"/>
    <w:rPr>
      <w:rFonts w:ascii="Times New Roman" w:cs="Times New Roman" w:eastAsia="Times New Roman" w:hAnsi="Times New Roman"/>
      <w:kern w:val="0"/>
      <w:sz w:val="24"/>
      <w:szCs w:val="24"/>
      <w:lang w:eastAsia="hu-HU"/>
    </w:rPr>
  </w:style>
  <w:style w:type="paragraph" w:styleId="Vltozat">
    <w:name w:val="Revision"/>
    <w:hidden w:val="1"/>
    <w:uiPriority w:val="99"/>
    <w:semiHidden w:val="1"/>
    <w:rsid w:val="0076450C"/>
    <w:pPr>
      <w:spacing w:after="0" w:line="240" w:lineRule="auto"/>
    </w:pPr>
    <w:rPr>
      <w:rFonts w:ascii="Times New Roman" w:cs="Times New Roman" w:eastAsia="Times New Roman" w:hAnsi="Times New Roman"/>
      <w:kern w:val="0"/>
      <w:sz w:val="24"/>
      <w:szCs w:val="24"/>
      <w:lang w:eastAsia="hu-HU"/>
    </w:rPr>
  </w:style>
  <w:style w:type="character" w:styleId="Feloldatlanmegemlts1" w:customStyle="1">
    <w:name w:val="Feloldatlan megemlítés1"/>
    <w:basedOn w:val="Bekezdsalapbettpusa"/>
    <w:uiPriority w:val="99"/>
    <w:semiHidden w:val="1"/>
    <w:unhideWhenUsed w:val="1"/>
    <w:rsid w:val="00EA77EC"/>
    <w:rPr>
      <w:color w:val="605e5c"/>
      <w:shd w:color="auto" w:fill="e1dfdd" w:val="clear"/>
    </w:rPr>
  </w:style>
  <w:style w:type="paragraph" w:styleId="Lbjegyzetszveg">
    <w:name w:val="footnote text"/>
    <w:basedOn w:val="Norml"/>
    <w:link w:val="LbjegyzetszvegChar"/>
    <w:uiPriority w:val="99"/>
    <w:semiHidden w:val="1"/>
    <w:unhideWhenUsed w:val="1"/>
    <w:rsid w:val="00CB06B6"/>
    <w:rPr>
      <w:sz w:val="20"/>
      <w:szCs w:val="20"/>
    </w:rPr>
  </w:style>
  <w:style w:type="character" w:styleId="LbjegyzetszvegChar" w:customStyle="1">
    <w:name w:val="Lábjegyzetszöveg Char"/>
    <w:basedOn w:val="Bekezdsalapbettpusa"/>
    <w:link w:val="Lbjegyzetszveg"/>
    <w:uiPriority w:val="99"/>
    <w:semiHidden w:val="1"/>
    <w:rsid w:val="00CB06B6"/>
    <w:rPr>
      <w:rFonts w:ascii="Times New Roman" w:cs="Times New Roman" w:eastAsia="Times New Roman" w:hAnsi="Times New Roman"/>
      <w:kern w:val="0"/>
      <w:sz w:val="20"/>
      <w:szCs w:val="20"/>
      <w:lang w:eastAsia="hu-HU"/>
    </w:rPr>
  </w:style>
  <w:style w:type="character" w:styleId="Lbjegyzet-hivatkozs">
    <w:name w:val="footnote reference"/>
    <w:basedOn w:val="Bekezdsalapbettpusa"/>
    <w:uiPriority w:val="99"/>
    <w:semiHidden w:val="1"/>
    <w:unhideWhenUsed w:val="1"/>
    <w:rsid w:val="00CB06B6"/>
    <w:rPr>
      <w:vertAlign w:val="superscript"/>
    </w:rPr>
  </w:style>
  <w:style w:type="character" w:styleId="Feloldatlanmegemlts2" w:customStyle="1">
    <w:name w:val="Feloldatlan megemlítés2"/>
    <w:basedOn w:val="Bekezdsalapbettpusa"/>
    <w:uiPriority w:val="99"/>
    <w:semiHidden w:val="1"/>
    <w:unhideWhenUsed w:val="1"/>
    <w:rsid w:val="00CB06B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hudoc.echr.coe.int/eng#%7B%22appno%22:%5B%2213621/08%22%5D%7D" TargetMode="External"/><Relationship Id="rId10" Type="http://schemas.openxmlformats.org/officeDocument/2006/relationships/hyperlink" Target="https://hudoc.echr.coe.int/eng?i=001-156006" TargetMode="External"/><Relationship Id="rId13" Type="http://schemas.openxmlformats.org/officeDocument/2006/relationships/hyperlink" Target="https://hudoc.echr.coe.int/eng#%7B%22appno%22:%5B%2282939/17%22%5D,%22itemid%22:%5B%22001-228027%22" TargetMode="External"/><Relationship Id="rId12" Type="http://schemas.openxmlformats.org/officeDocument/2006/relationships/hyperlink" Target="https://hudoc.echr.coe.int/eng?i=001-1104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doc.echr.coe.int/eng#%7B%22appno%22:%5B%2241418/04%22%5D%7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m.coe.int/1680696b7f" TargetMode="External"/><Relationship Id="rId8" Type="http://schemas.openxmlformats.org/officeDocument/2006/relationships/hyperlink" Target="https://rm.coe.int/16809ce9e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G+68chVGot3Xgavb6L8I7slBFg==">CgMxLjAyCGguZ2pkZ3hzOAByITFfdy1mQ01XMHR4YTNYTUVXejUwTXY5S2d5NGtEWXhUZA==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2023-12-04T08:19:00Z</dcterms:created>
  <dc:creator>Laura Koncos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9c56bc43071eac248867df7e878ab966004615f247a61133a402e46ec7a2e974</vt:lpwstr>
  </property>
  <property fmtid="{D5CDD505-2E9C-101B-9397-08002B2CF9AE}" pid="3" name="GrammarlyDocumentId">
    <vt:lpwstr>9c56bc43071eac248867df7e878ab966004615f247a61133a402e46ec7a2e974</vt:lpwstr>
  </property>
  <property fmtid="{D5CDD505-2E9C-101B-9397-08002B2CF9AE}" pid="4" name="GrammarlyDocumentId">
    <vt:lpwstr>9c56bc43071eac248867df7e878ab966004615f247a61133a402e46ec7a2e974</vt:lpwstr>
  </property>
</Properties>
</file>