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l-GR" w:eastAsia="ja-JP"/>
        </w:rPr>
        <w:id w:val="-1679030628"/>
        <w:docPartObj>
          <w:docPartGallery w:val="Cover Pages"/>
          <w:docPartUnique/>
        </w:docPartObj>
      </w:sdtPr>
      <w:sdtEndPr>
        <w:rPr>
          <w:color w:val="FFFFFF" w:themeColor="background1"/>
          <w:lang w:val="en-GB"/>
        </w:rPr>
      </w:sdtEndPr>
      <w:sdtContent>
        <w:p w:rsidR="00903A78" w:rsidRDefault="00D17625">
          <w:pPr>
            <w:pStyle w:val="Nincstrkz"/>
          </w:pPr>
          <w:r w:rsidRPr="00D17625">
            <w:rPr>
              <w:noProof/>
              <w:lang w:val="el-GR" w:eastAsia="ja-JP"/>
            </w:rPr>
            <w:pict>
              <v:group id="Group 3"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jOyQAAJwEAQAOAAAAZHJzL2Uyb0RvYy54bWzsXW1vIzeS/n7A/QfBHw+4jPpFLcnYySLI&#10;GxbI7QYbH/azRpZHxsqSTtKMJ/vr76kqslVsFtmekZJNJp0PkT0qP12sJllPFYvkn/784Wkzer86&#10;HB9329c3xRfjm9Fqu9zdP27fvr7537vv/nt2MzqeFtv7xWa3Xb2++Xl1vPnzl//5H3963t+uyt16&#10;t7lfHUYA2R5vn/evb9an0/721avjcr16Why/2O1XW3z5sDs8LU749fD21f1h8Qz0p82rcjxuXj3v&#10;Dvf7w265Oh7xr9/IlzdfMv7Dw2p5+tvDw3F1Gm1e30C3E///wP9/Q/9/9eWfFrdvD4v9+nHp1Fh8&#10;ghZPi8ctHtpCfbM4LUbvDo8R1NPj8rA77h5OXyx3T692Dw+PyxW3Aa0pxp3WfH/YvdtzW97ePr/d&#10;t2aCaTt2+mTY5V/f/3gYPd6/vqluRtvFE14RP3VUkWme929vIfH9Yf/T/seD+4e38hu19sPD4Yk+&#10;0Y7RBzbqz61RVx9OoyX+sSzm9aSB7Zf4bl6Uk2lRitmXa7yb6O+W6297/vKVf/Ar0q9V53mPLnQ8&#10;W+l4mZV+Wi/2Kzb+kWzgrFR7K/0dXWuxfbtZjWqxFEu1ZjreHmGxl9qITFRNIhO1DV3c7g/H0/er&#10;3dOIfnh9c8DTub8t3v9wPOHFQNSL0EOPu83j/XePmw3/QoNp9fXmMHq/wDA4fWD74y8Cqc2WZLc7&#10;+isBpH+BiX1T+KfTz5sVyW22f189oN/QC2ZFeMSeH7JYLlfbUyFfrRf3K3n2ZIz/yF70dK8W/8aA&#10;hPyA57fYDsBLCojHFhgnT3+64gHf/vE4p5j8cfsX/OTd9tT+8dPjdnewADZolXuyyHsjiWnISm92&#10;9z+jvxx2Mt0c98vvHvHaflgcTz8uDphfMBowZ+Lb9e7wr5vRM+af1zfH/3u3OKxuRpu/bNF150Vd&#10;04TFv9STaYlfDvqbN/qb7bunr3d4twVm2/2SfyT508b/+HDYPf0DU+VX9FR8tdgu8ezXN8vTwf/y&#10;9UnmRUy2y9VXX7EYJqn94vTD9qf9ksDJStTN7j78Y3HYu754wkj/684Pl8Vtp0uKLP3ldvfVu9Pu&#10;4ZH769lOzn4YujTh/ApjGANNZrof0UUXb3fb0eQThnBRN81s4jyIOdlNJuV4wtDpgbzePa1+3CxO&#10;NNNEpqMBT/88DM2Haw3N04c3HzB6z73viqO0HaHFrJzN8JsMUfzw+QxP529bauDcYuOHlJCHRsbT&#10;R5GHaQM+dzMCSajLYjyORtZ4Mq1JgGhEPS/GVTmjpyxuWxoxGzc1xrYgFLMzzfCEoqjGTTkF0SGM&#10;qsBjSta0HZ5dQpFo7TRs7TRuLenFxOSH3fKfx9F29/UaZGH11XEPx00zKXmQkF2JSVs24zlOS66K&#10;uoD2cfP81FOM6+kUVus2ThkoBXGmXCmQpIV+hekaEYRM198dViuKBEb84mkIg5cR4yJrH/dsarGr&#10;+obEiIqN3jz/z+4e9HYBH8STbYe8Vs28cfZtyqKZlTxzg1Q4NlrMq2bqOFozx8zveYzHWb4Tikba&#10;eB+IXnAPgsbd4d414w7v6OFpAxrwX69G49HzqCgdIX7bisCPK5H1iLgAd/azCLpCK1LNbRh09Vam&#10;mJQjEwiUthWa1TYQ2t3KVOPaBsIk0AqhTTYSxk4rVBdTGwmvvBVKIs2VEOxjIxXa2NPG1qnQ5sYc&#10;kYB6icWLwOSzlFba5imltM0nVUInbfNUX9ImVwphTLedc7GWMAKTxYet67D4CTQRsabw6P3uSLEa&#10;9V7MnneeBEOKendCWOarOw4m8by8MIxCyJ4x5YXRcBLmubcXGf2JhOc87fapQV2GW/iyJsLNiPjL&#10;Glm4VhYva2bh2lkEDZUGu/dEsWA3vXEA+Xh980bmDDB4er30mujH0TMcEKac0RqOFPMK/fvT7v3q&#10;bscSp05Ejmedv91stVSFIQhLYWZxhvVf+889g82kyZg3smKsE+AwK7xMTuZE6Ocf5z/lsVMxHcZz&#10;Fs43AoSNnEcKTcAm/iX7R/lPeaT0nC7QcrM7rgSb7M8Pad8JvUrlOIKQvI2QewJ3eqMu2P34uJ/i&#10;uW8Wx7U8g59PhljcIvm0veef1qvF/bfu59PicSM/s6lc8CbJDsWqf7Hw1geup27YesVQlZMeEsS7&#10;9v16wSmGVIft8Kx1bbaDhMLMs535eDITNqPYzqwuPJmsy+m4Ys6FV34528GUxr3qTGW0+yUHVTbc&#10;ZvJPnjNhumoZwYy8eIwSeN65DYOZqIWppjaO9rtz8ruGOpgNWpwmgaPdbgEhEyhgOgVTgbhlmulA&#10;GRspYDrFOGGkgOqksbS5G+YVsVYh1UmqFZg8BRXYfJZooDZ6Yb87uI7ziyknCSBt9JRG2uaqT2IE&#10;DKTJYIW/A9KUJKmFo4dFwA/JMbdc+JM4FoYMcSyaPj6dY4lurWqeb/hP4R0Vuj2Y0zzPThqRwlyU&#10;ZTo0tRKam/bYzQvrCx+KOeZFcrT2QyxRJvUkXCVic+9o/MP8p7QUroJU8+TZf+k/BxqGZMhAwz5m&#10;kdUvXDiG5RKaNJ91eBj+Cbzl2kQslZPzaacS/3kihiXieXXFvFOcVOoysaKcRrkpzQ3Ye8YwmoqR&#10;87RgNC9gbx7DaFYwJdpj4WhWUBEriHE0KSgmKSDNCgrOXsVImhVUnL2yVAqoWJlQKmBiNVJTdvMo&#10;vdBSTcnzxWoFVKypKD9n6qVtPmGGaGCFVqekoYml7T5LtVFbfl4TsTOxAtOPmU8bimnjw/mkLEYr&#10;pa3Fimpi94lSd3WkHojoW7pRouSMhjSj2cNK3eMJJoWm30BRJV4B3Jt6Ztkk0fQ7KMapluqXUGAR&#10;IaWbfgvTxEso9UuY16mxRM68tRqSl6bRKv0KpvNUKyv9BlKvs9IvID0CKm3/MvEyqRKjVT49Mitt&#10;fU7Ax32WiFkLlZ4wEF2fxRJTD+WpWqj0LAYdzmKJBtah4RP9odZ2TyFps+uZfoiT7Oz55xcnJcMq&#10;mofB1e8w04I3SThFcVBqqQDdjcV9EJPP/5cYySzuQ4EecQxWFvexT484BiSLByFhUncXu9xhRntJ&#10;U2lGI3RMWi8Sd03FvPQicddUzD0vEndNxfzyEnGaX0h3zCEvEndNrYOmSme4ZP2C1EBszR7704Nr&#10;aUs3Xx8Gk5gr0d6pt47/0n+6AJyFMCs7o/hv/acLXsUY8ANZMSITeCQ8T1bMLVzA2WXFJvJ+4V+z&#10;YjN5KEhaVqwYw6NBOeJfeUHyoiQIapUXdD3Kk69kggB0ySEicS19z5vXfzozj92jwXWyglNpC2hM&#10;VgyLPtIF8o91De57H25a7Hu78PawXm9XEYv09Dvp5j1d2B4Lw9rVFUszP/e1Kwppu0kTdhPXTppU&#10;qIWayeCtZw1iGp7Cz6tX06KmyYLKvBAAYq3Le86LVq9qCrBQYYa5Ry9NaTJNFHg24QlZi2Deb6l7&#10;AqVLpA0UHbtwHBTroiOXhgI9A0aHLSWtOMUwOmopKgqNDRwYuG1UQXVDMY4OWUpeAjNwgmyJrU+Y&#10;KxkXtkJhqsRUKEiUTDhRYmmkLZ3QKLQ0xcEWkLZ1wkbBktVsnDA2rVGcrU15g9jaWCQ4y0AbW6cw&#10;PWIjBcmR2SRh7yA1QgFwrFKQF5nBAqaZiMu3jUtopO2dtBLKOc9AlFQ0NNJ9u+FVS+PFobb0DESx&#10;rwGkrZ3sSkEihPIgMVCQBqlTnTvIgnB60kDSk0hyvIU5EHtOC1IgRUWpGcNKQQYEg8lsXWjvBJA2&#10;d2qC1PZW8+yQaRgyDcJdh0xDVKz5O8g0XJwLwDxIqQCan6xMAH0NHuiD/FQtY0fMR5T+04X5gtXk&#10;w0ryQsw8+wJfFsM8nY0+BQx+ISslISrcUFZKsOD1slKuRBVeNi+GSRvNdH4hHbZ7sXwDMLsTGJ6d&#10;C+0dVp9mjNXXTJk0+kwmhu0zvysC7nuXtLDDPaMnkyAJv55uluixQ8Q+ROzGXvJEmQMi027Ezn3z&#10;6hF7U2HDlYzLsioK/MxhdFvmUNe1310zx+6aK9abxuF4N2JvsKrZCep1xF7w4lcMo9l2TaGNgaMj&#10;m5LLHGIcTApt9FMgIjeBdGTDVLuIgTTVLrGMbgJpqi0rszGQptol18AaTQvi9ikvPsdIQeRe8X4Y&#10;Cyo0d8LeQfCO3bd2+8h7KXOmsLTRJ3gzpq2oEu6MVSfeXxDBT7iSw2qjNjxtxsKauGEvbfqmoIoJ&#10;AyuM4RHpm1hBFA+UBFZgeylwiPUKAvnJnCprLb0C2xeJPhGUN0w4uLSwtO3RB+0m6i5fNylzadNL&#10;ubbRQm35ChUtZguDeL7mIokYKojoy5Sxgoi+5FIQA0pPMskxHYT0UrtkQOkuj42eiQZqsycGT1DV&#10;QKG4e31DKD6E4kMonqhv+HeE4hfH1uShKLimAW4F1+GiYSq2dkUvdT62I3dFwVG7J9/H3v7TxeDQ&#10;CGKYC7ORolu0BXvJihHnBBqYSVaMVphIDqwjL+dWd8Eo8nJUggU8sIW8HLZWkhyYQI+cWOU8EXuj&#10;+U+3NO4W2+HB83jYnsr6odfm4nFYV8ySV8/tPIBXzaLV8OZoLDxmVoyS8yTW0wNcuAFPl0ULu7A3&#10;1xBFD1H0y6NojIJuFM09/dpRNI5Iqd269xR1NW4vwHnde1JWMwwOXvcez68YREulml7SjmLobAiN&#10;NeTnUQyiyS0vxcUbP3VEUVKgE6NoXptA0aSW+XGMoiMJrK6D1EYt0mEEUeMYRMcQTIx9pvWPvGnw&#10;YhYCOzMJuYSDEAY5Uv9C/ETvP8U/uqrSHinnWdp6TI/hPwVrcCz+ILzhMIDeoz4T6VnMfl3Hwmzm&#10;2o4FRVLV1FHIYlJVUjB1dizwK5R9Y8eCysVrZmeJnOUcixB4LaETVrzvIirJ0n4F2/zXoxhE+xUb&#10;RLsVPl4oBgncimS7us3RboUzqTGKdis2iHYrvOcmBgmysZK36aoS5GLJOwnKkLX5mKzNxc6MIitE&#10;1LD9pwfU6A/wZW2Bv/c7/lP8jwgh4MsFcC7Oa3uCh/CfAiXBYE+Z9ODvBn/34qOtE/4OHa3r73hy&#10;v7a/m2A5krLYGEWTZjbHwYkyWfrlyKactMuROCeyGV+ngriacwQzZx+uXVo3mppKnkmLaK+XxNGO&#10;j2Z4A0c7vmpC1a1A67oK7fuwS9UE0s6vKsiHGkDa/WFPqQmk/V/JJxAaQNoFFrzz2mhb4ARLeEpT&#10;p8AP4t3aWhHJb9f+aOXFxtIWL3m9ztJLGx1nSyawtNVLXke0sLTdi4rWJA1zBWuSFfaNm5YPqorn&#10;KbW06etxaUMFS5KIwk2tghXJmgvCjRYGdcVcDWo0MFyQ5IDdgtKG52J3C0rbveGFMQsqsHtiHJe6&#10;vzdTWkS0oHSPT3SsYKP1tKbFbgMpWI5MjOVgNRIYCSTd3Tm5Ec8KFEO3Q2LKRNTSSds80T2D+uIp&#10;F09YSNrkCTsFa5FJi9NukFZzrsMw+kGww7rhSnxDKcqgt1C8XG5ABTusEU/ZNg92WDdE/S0obXSp&#10;erC00kZPeRmqGFOqJya+Wlsdu/ISaumeXlWJXoXdhOcnFk1i1IBYnqVKlJKYfZ1OQWm1RyLU1mui&#10;XWmJEgQbS/f2EgdTmKanNaT2iQUOzLCxtOnLGRV2GK8RB8ErLJz0ZmNp21dwJzaWtn3KT9C+z1b5&#10;imtELLW06TlUNjoXneB0hkr1rkZbXvWtIb78mPgyucfcJR3vkIeRgC6/g/0q58ymlUHnAne+a88l&#10;yyvjVkWHAv3fY4F+shO4teTLjgJIo2NapS4Gp/WS/k5ei8V9WUC+R5JjYnG/HpAXJ99D4vAuL1HG&#10;rdrftccF96C7praXhfSIu6ZOXtZUdwDAXbtJPI/ujuu7w3Sumnpx2ot8D+W9yL1YiS/+Hib26apU&#10;LUlXzieq/KckrBDY8gtrE9X+a//pxGjLJB6KgwCkrf5r/yliCEpZDHFnXo6IDOAQU+bl3CEKiBez&#10;cogUGQ+xYF6OKD6eizgvK4ezFUkMMVxWDKtfLNazMcXtP6CLq7LGkzeBuCor5vwVGHxWDMyH3hdG&#10;e+6Z8kjHZNB1/ev0n/JaZUwjjsliiWkRo2SlRK8+7V2JE2KLLJgv0pH15aT+DSglvc6emiQaePzW&#10;850STJ/lwOWzyoHFsxx4elYODF3k2pPuvfX9pxtcbioGv87jzcDZ0Q538nPSKmDNLNczZsCIWawn&#10;iZ6abob6oKE+6OX1QZiPumltHmS/YFq7mWMdt7uMi7sX/Vmi1Xg6b0fwRcdicLKIm6PT1d1gEFcc&#10;0vDWIjoG59xVBBLE3xQyGygYxm1syrmKCCWIvPnEwlgXvKEWpeCkVQSjg27eyGIog6mnheHjBWUy&#10;1a3WAbfsrDdwgkS2FE9F+oRp7BllOiwkbWWkaZBQiJECOyO+t5G0pSWHFiMFtm5oW42lU2BtznvF&#10;SNrcBbLANpI2eAJIG3yW0CjIXtuvP8xdp3C0te2BESSuKU3iDASH9kcuEkvGga54/A7dXShfPnz5&#10;w6dJ0I9goQvO1qNTPRCoUbe0AjVhzZ5LpsI0YBBX42GdpGpCONsckueF/lP4IU1zgOop0HcZJkyo&#10;WRLpqgCLWZ67kglIffETSf0dnS/aUNlr7j9dC4SnYxLL6iZSM9/NPYb/dFisWHv4ov/Sf4pQ+Ir8&#10;dwNlHSjryykrxmaXsnLy49qUtRlPp+eS9nkDfso00Vdi1POyrTwcI7bzQeLllJUHmmZmXcqK+DrD&#10;WGXlPQLRVApLeigjj1ACHsWF8RGKplEJFM2hmGlEIJpBEdEQTT4/nnG5x8Obp01ukwscnkvBtTb2&#10;s67/lJmZyB8cS4/UMH8PlXSXVtIhMOrO3zx1Xnv+VpV0zWw6a29d9vM3jvrw83fT0AW6QuIvnr7Z&#10;GeVmbxRXZGZvCoQjCD13y9W0EYaeuynbEGHombumWqlYDz1zm3roiZtLt2IMHffS7B/poaNevtwi&#10;xgiSDCZIkGIgFyIgn58LSUafsDPm6zu/RNATe8rE3QlVL3ZP6A7wTjD9xeEY9xLo452S/xTnhOeg&#10;re0r9l/6TxGSyKhnoUnsAGcng90j+M8hSjkMt3R98XT5LV01rR113Bz9G7rd1f3cDIdKy8IofphM&#10;kGdi9+L9nD5yejZ1mXcMtYsdnWQNcp6ukGVkLaLTkORiYpDA13FqPUbRzo4TvjFM4O44tx7DaH/H&#10;uewYRns8VIAjKRrDaJeXOCNWOz0g2DiB20PpqWWdwPGlkbSZC/t0XyI/7ZIAX+NuNC08s4ryz7GJ&#10;aKdOC8TMwgLStiaXbuBoW3P+WUw9OPXfbZnexQwDvYRTvugJF3OMfMrXpUx7ai5cmhZlNzkCQVpT&#10;lrbtv55f+E/hGajceIkYDVSgtSVbHsR/CpjLRveQpCGA/5wDeFwP//b27WH/055oRvDj8q/v3QWi&#10;NZEFoSbfH3bv9iP6B+Ylb28h9T39+Y+ggfDa9OMPu+U/j6Pt7us1LldefXXcr5YndG3u//QM/Sft&#10;M+XvPcPYPTyMPtBCSeMGRj3DFb7+/k7PU4pq3JQosuK93LhZdDJrmKYjAlr/LUJo6vkc9T7MdJbr&#10;bz+cRkt6xLSe0jobbwdvptN5Jyt7NhBpSEzs+bgffXjabPHT/vj6Zn067W9fvTou16unxfEqTJDq&#10;GrpMUHLJ12aCmG+mzsKTAnsH4bwDJljMZ+3tI8QKr5fzKHw9x9t719a7bs669vnzs4gmKXKEZQyj&#10;SUoxobS1AaTpIG7fxIGMMZAmKdWYCKEBpEkKMGwkTVNqvsrdQNKcMImkWSEwbJ0CVojLZs3WBbQQ&#10;p9gmoF5i8YAXFnzcpNG+gBhSvskweUAM+dYPC0jbnIihBaRNrsw0MMM/LjOkbsLZJ8wrn04N3Wl3&#10;mFnYoaUSULhSjigY5o2sGOvEmao8XCsncyK6sedy/lM4HS5G48didGfpphQiYKxmxTCIiEbmqesv&#10;TxDpZS02+/Vi9H6xocPy8J/Tm93u6usNfDNsctxtHu+/e9xs6C8229Ez1eDTz8EX7d8I3OmDZCM/&#10;/gn7w/H0zeK4Fhx+Bqm1uAVJ2t7zT+vV4v5b9/Np8biRn/n1QWNy50emTvTTm939z2BcwwlDn3jC&#10;UE37JSPexAPh2rypwt5InOzIo2M2x22OPMrPZwyBVlHajFllXTVYWHL91RPc5bvj6fvV7om79ntU&#10;OHFvaYvmzowHo6vNlLCvi5NJXd7kqtlTOTTaiGmkWzRtQrnnemTAaNaEDZYmjmZNc0rGGTjagfP+&#10;ekMf7cCLaUKhgDPxFlMDSXMmKGOrFHCmAmzPbFxAmtJYmjShcNSG0gYvppQoNCwVkKYq1QG0zXG8&#10;awJKWz2FpK3Ox/dbOmmrp4C00ZVCA//63fKv5LoiZiSaCDsbaPGmL6vdpJFMdI16IE2T5/JMa83t&#10;/G1IiEQ3lFTm6JA7Pmeez/e5vWSYjLJgrDfs4UYO+/q7HbUg1AyTDNutT472ogMOU0T2se7ebnd/&#10;aPKpwtZ6zqUeKN1A6U53H/6xOCAtyCxVuKn7BRmwXy0VBlcaUTperrw2pTvnGifjYlxhByFTMp9r&#10;xO3VCL0kTTgvx50sIea6TyV0MjVpstblczi0S3Q5s0JNMHD+xvMoRtH0YlqCEhgwms/xFp8YJqAW&#10;fLeMgaOZBbOwGEcTC9yYZOvTJRYxjKYVqFo1WxVQOeInMUzA44ieuEYN9ORj6MnFLh4vhtfq0ME/&#10;3cPTxUbwj7I4kPR79CjyojKWkmKOy7g7vZJiAoY62RyrEKEuWbjm1gWOHofEyGjzly1WYuZFTbvN&#10;T/xLjZvS8ctBf/NGf7N99/T1DtkkzLaf+132NR3+FHlRTklc24ti4FQ+MVKOy7q7oIRVuplPjBRj&#10;HEV4xcyIbLrPedKmduuDCU/KoXoMo10pn15n4ASuVC5E49otrU7oS2lByQDSvpT3uLrDBDSQdqYl&#10;L90YQNqZYhkMSYi4ZYE75eu6DaDAn+KILhMp8KjIh9mNo5XWNp0FlpXACgwul9DFby5IjaDbJbC0&#10;0eX0OquJ2uqYRhJY2u6TGd/QZuilDU8LkLa9tOkbuTguxqIp7GwvnNpmYsGnnaXQOtv2wVGUBaqu&#10;bCxt+2acaGNwyz0C3gRWYHu5VtJoo7Y9Lpiz1dKmr6cptbTpJbEY9/ngNMpqTiTS6BHBaZTucrxo&#10;QAfHUVZ8nKgFpTs9ri40GxicR1kyQbag9DTDVXrGoA4OpCzk7szY7LQvtO1anMWLTRUcSEk02akE&#10;XtSmqhdrn70+p3vwE5xqdECYECKs8wtryhegw2jga3c+cZ4XhllI2K+h5YXRcBL2BeR5YfQoEvar&#10;eHlhmilJul196xF3bcT6+UssQhMeo7+smY4X37UHPfUo41rabmHOizs+PRyDF/Xy3+nleHj9SLbS&#10;AL8gFJNUZc+JVuSI0I8Luak4GWO5jevgN9koiw4jBVrVc6k8jlBiMVmpSz4UnITlcDFI9qngGywH&#10;RpGXcxWbYAt5OdcMMIEeORmm54nYJ5X9p6vtRFUntRcePI/nAt5Jz5lgjtPD82bhXIocXjUr5i7H&#10;g8fMipGnRhvgDbNirtoVni4rJnPzEI4PdQr/9qQ2HHkUjvPqzrXDcRRsIlktMwEOkEZsTkPkXKeA&#10;f8HEJFltHJrXEpGLyxRkWtQxq45RiEpOeYrQEpixWkL6gkv2psTcYxTNkEs+WDuK+XVYkkDR5FjO&#10;0IpQdEQiZ4ZHLYJp2xYRxY6toqPAs1X+4PwazQf5vOTYHzhnkBl0jk/nMhSQwflIB0vyBXfJXo8U&#10;JUeIo+Q5xeCghlXX38iqK2bIyEFx1HltB1WMcZiuMHhsQ62xnSN0UPqyPqSOr+eg5CRX7X66Dkpu&#10;btYS2kFJykuUPWeTMWe0E75c1sdW0yDaP9kg2j1hkwPutotAAvckKbOuKto9IatmoWj3JCnPLoh2&#10;T3JZX6RKkB2WPFIXJcgNk5eTBv3BvVy6nsrMIl3sFGlvBZwibP/pTlGCz55zhkWo51w30gYuse0J&#10;Pnz1nxLGSsarZ4fl4DcHv/kb8ZuYlyO/yaTv2n4T5UiFO0S81hsbfbkSrrVFwZKL7GgZVra3YRK5&#10;KLSjK9OwEV/yNtqrdZ3nFMpxpHn2jdp7JnG0A+X4LsbRDrRq+KSCWB/tQ+XGuBhIO1FU69sN024U&#10;W+kQccZA2o+Wc/KBhoW0K0UVio0UONOS1w4NqMCf0k1UplbBWiutEptqUfKspSxlWSawtNHR9RJY&#10;2up0+6Gtl7Z7IYdoxC8wvPRP7oyLLU/Zy1Z7qny326htX/N6ufEWg7XWVBODpVZZh7Sggr6e6FnB&#10;4cmTVAuDldaS9lwYHYIqKlozNHKjZGwsFP2epeSIj9ju4a1/vI5vNVDbPaWUtvqUz882kIJ11gRS&#10;sMwKDLtf0bpLa4RET6CgvpWZ8mmUlk5Bb7dNHiyyplunTZ5qnZ5iGq4qsHTSFpcDbOKXF976Jxez&#10;xf0gvvXP6FK0zbG11ITPLDe0olWGVgrXMZq9E0tKZyFcRWu/PlooaaG4DMDSSnf0mvdkW1ppq+OQ&#10;gIRa2u4VV01YWNruBa75tJuo+3rJJ7MbWFRA3Dax5D1GRhvDW/94K5aFpS1f4jAeU6/w1j84S3NG&#10;putDznrNEm2kFapWqkjqpW1fcQLWaqO2PVdzWE3Upq+aBPPAVVBnteR+37jLB7f+QR/bWvGtf4I0&#10;BKp2PcdQ7kB5aqvSxS1x37XHBvYUU2AAIhi+a0l6jzjGGIv7Bc8ecYwjFn9ZEYvbSHTXVjfn0f8d&#10;5Q7J1AndjUtNbc90zOs+3PqX6sDDrX8nqmujTNl+cVrTSQLkxnhVCU7ByqDx9+h8vsIgtSPRy+VL&#10;JBDZcldue7JPjPlPSZDxLnM8FOc+SAmZ/9p/ihiiUkbr2/6AkFPk5KAkOD6P4z8dnlvRQsCYfS5C&#10;RcajWwdz+iEMlNb2lA7R7kYa4AjisnjusX3lKn7loeep7jY5BFbZh7o6lKanxAjUh15Yz0UbTqol&#10;IN7+/lPeg1gDgUxesY94IgKQLBYFwFC/6bkOxV/7Bwvn3juu++PX2Z4r5ZvnP6WZyBKzWN9hKs51&#10;gcxnnwoaz3gg6lk5UHSRQ2og1wrQb5Yr2s0MXn3/6UaNuxwC5DmLB9rMeD3FVqDELNZzMaifb7rP&#10;HDYi4Z0ubocTWn7N7bwYeFGCnGfVXzBBPpmP63H3hJYJTmgBWaRj/3D4GV0lKCP8ovQ4ZRpkcSyX&#10;Gy/knAEtooN5yqLEIDqHUlAKxUDRYTwF8TFKEMLzmcKxLjqAxz4ECwZvsc0EuOsDeZVDN0kH75yv&#10;irXRkXtR8VHJsTpBSlzKwlyNwHlpIUyIcwrNME+QEOfja2KVgnQ4MGxDB1uPkDO3bBQcZVcge2G+&#10;MirSb02J92oiaXMXnCi2WqcNngDSBnfXB0bvLUiDU6I/NlKYBKcFfUOfYLuRPTCCDLiCGfItdlZh&#10;yLekwlU734J+hPj/kjpCjDyUTFDvtiI+Yd/ec6TiPaG4Um+UDKjwIHgiLGfleCZNYJDquz5QGDom&#10;1CyYi7jOt5B5ruo/hbNi9LNmMjEn9XcvAPNc9qGu6gOTWFZM6H4PO5dmItDImSx8Rb5pA/UdqC8f&#10;a/NrUl/454j68ni/OvXFJiLy4hSmlyUqRRxf8rUhwTWE9bSNvS+nvlEBPMZoy27IwSPe5553pm6a&#10;+b7kGkJiZDGKZr4lF/1Hqmjqi5VKC0VzMWYsEYhmYuf2fH585XLPiTdP2wkvcZy07E99OO8rXK6k&#10;R2rwA0ON4G+kRhBBWOQHOHt/dT9wrhHEzQg4G8eV5Hk/oK8zxPUKPmd6sRuIw/OOF5D0rE4WaC9A&#10;mYsIIkh/TDF7xxjaB5gY2gNwuUeMoT0A5WEiPbQDqMkDxBg6DicvEmHoKFwuA4j2lgVJDxMkSHmc&#10;Ffn8XFFyrRd2hne46GSGi90cugO8HPrAp4eHLr7iXgJ9fIjiPyUKEyHpa0khCTRfFBC1hQb+Mf5T&#10;Hjd4y8Fb/ja8JRVudb0l/g1BxNW9JcoJ3TpjU1TkMCVU8d5yitMK4EH4nqCrHgAquRDtDbtRk1u1&#10;1yJdhxmDBB6T89hI23aCL+0yOY0dw2inyffNGMporyn13FGYp/0m7ttpD9zUbdKOE1luFDRGMNp1&#10;ShG9oU7gPOV2xQgocJ9pJG3mguLKWKVgxYCvG7JU0paWUvxYJW1qPizLAtK2JmJgKKRtTczAwQzU&#10;4HebVb+Yp6CXcCIbU8DFTIU7bpKEuERwu57qiYX/dFllKZjAJTmYkZJYpDUo3rn/ehD/KWCuiqdP&#10;zB2fhQqn3DNpYsAze47DGQjSQJD6CNL55kA+Nr29W5H//fktHUID73dY7NePy28Wp4X+nf/idlXu&#10;1rvN/erw5f8LAAAA//8DAFBLAwQUAAYACAAAACEAT/eVMt0AAAAGAQAADwAAAGRycy9kb3ducmV2&#10;LnhtbEyPzU7DMBCE70i8g7VI3KhTWkoV4lSoFSDRAyLlAdx48yPsdWS7aXh7Fi5wGWk1o5lvi83k&#10;rBgxxN6TgvksA4FUe9NTq+Dj8HSzBhGTJqOtJ1TwhRE25eVFoXPjz/SOY5VawSUUc62gS2nIpYx1&#10;h07HmR+Q2Gt8cDrxGVppgj5zubPyNstW0umeeKHTA247rD+rk1Pwsgu71zimt2ztn7f7yjbNoRqV&#10;ur6aHh9AJJzSXxh+8BkdSmY6+hOZKKwCfiT9KnuL5d0KxJFDy8X9HGRZyP/45TcAAAD//wMAUEsB&#10;Ai0AFAAGAAgAAAAhALaDOJL+AAAA4QEAABMAAAAAAAAAAAAAAAAAAAAAAFtDb250ZW50X1R5cGVz&#10;XS54bWxQSwECLQAUAAYACAAAACEAOP0h/9YAAACUAQAACwAAAAAAAAAAAAAAAAAvAQAAX3JlbHMv&#10;LnJlbHNQSwECLQAUAAYACAAAACEA44PhozskAACcBAEADgAAAAAAAAAAAAAAAAAuAgAAZHJzL2Uy&#10;b0RvYy54bWxQSwECLQAUAAYACAAAACEAT/eVMt0AAAAGAQAADwAAAAAAAAAAAAAAAACVJgAAZHJz&#10;L2Rvd25yZXYueG1sUEsFBgAAAAAEAAQA8wAAAJ8nAAAAAA==&#10;">
                <v:rect id="Rectangle 4"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tsMIA&#10;AADaAAAADwAAAGRycy9kb3ducmV2LnhtbESPQWsCMRSE7wX/Q3iCt5q1SF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i2w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xY8MA&#10;AADaAAAADwAAAGRycy9kb3ducmV2LnhtbESPT2sCMRTE74LfIbxCb5qtVClbo6j0j8WTayseH5vn&#10;ZnHzsiRR12/fFAoeh5n5DTOdd7YRF/KhdqzgaZiBIC6drrlS8L17H7yACBFZY+OYFNwowHzW700x&#10;1+7KW7oUsRIJwiFHBSbGNpcylIYshqFriZN3dN5iTNJXUnu8Jrht5CjLJtJizWnBYEsrQ+WpOFsF&#10;m3Nl9jua/LjD54dcRv/8NvpaK/X40C1eQUTq4j38315rBWP4u5Ju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OxY8MAAADaAAAADwAAAAAAAAAAAAAAAACYAgAAZHJzL2Rv&#10;d25yZXYueG1sUEsFBgAAAAAEAAQA9QAAAIgDAAAAAA==&#10;" adj="18883" fillcolor="#4f81bd [3204]"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903A78" w:rsidRDefault="00903A78">
                            <w:pPr>
                              <w:jc w:val="right"/>
                              <w:rPr>
                                <w:color w:val="FFFFFF" w:themeColor="background1"/>
                                <w:sz w:val="28"/>
                                <w:szCs w:val="28"/>
                              </w:rPr>
                            </w:pPr>
                            <w:r>
                              <w:rPr>
                                <w:color w:val="FFFFFF" w:themeColor="background1"/>
                                <w:sz w:val="28"/>
                                <w:szCs w:val="28"/>
                              </w:rPr>
                              <w:t>[Date]</w:t>
                            </w:r>
                          </w:p>
                        </w:sdtContent>
                      </w:sdt>
                    </w:txbxContent>
                  </v:textbox>
                </v:shape>
                <v:group id="Group 6"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nd7sA&#10;AADaAAAADwAAAGRycy9kb3ducmV2LnhtbERPuwrCMBTdBf8hXMFFNNVBpBpFRKmOvvZLc22rzU1p&#10;Yq1+vRkEx8N5L1atKUVDtSssKxiPIhDEqdUFZwou591wBsJ5ZI2lZVLwJgerZbezwFjbFx+pOflM&#10;hBB2MSrIva9iKV2ak0E3shVx4G62NugDrDOpa3yFcFPKSRRNpcGCQ0OOFW1ySh+np1GgP+fENibJ&#10;NoPrYXtbJ7N9cndK9Xvteg7CU+v/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PJ3e7AAAA2gAAAA8AAAAAAAAAAAAAAAAAmAIAAGRycy9kb3ducmV2Lnht&#10;bFBLBQYAAAAABAAEAPUAAACAAw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9"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e5cMA&#10;AADaAAAADwAAAGRycy9kb3ducmV2LnhtbESPwW7CMBBE70j8g7VIvYFDJRBNcVBAasWlB2g/YBsv&#10;cZp4HdmGpH9fV0LiOJqZN5rtbrSduJEPjWMFy0UGgrhyuuFawdfn23wDIkRkjZ1jUvBLAXbFdLLF&#10;XLuBT3Q7x1okCIccFZgY+1zKUBmyGBauJ07exXmLMUlfS+1xSHDbyecsW0uLDacFgz0dDFXt+WoV&#10;XPX68L5aje3P9+BKf/nYl0dnlHqajeUriEhjfITv7aNW8AL/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e5cMAAADaAAAADwAAAAAAAAAAAAAAAACYAgAAZHJzL2Rv&#10;d25yZXYueG1sUEsFBgAAAAAEAAQA9QAAAIgD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0"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YdcQA&#10;AADbAAAADwAAAGRycy9kb3ducmV2LnhtbESPQWsCQQyF7wX/wxDBW51VSymro0ihoCIUtQjewk7c&#10;Xd3JLDOjrv++ORR6S3gv732ZLTrXqDuFWHs2MBpmoIgLb2suDfwcvl4/QMWEbLHxTAaeFGEx773M&#10;MLf+wTu671OpJIRjjgaqlNpc61hU5DAOfUss2tkHh0nWUGob8CHhrtHjLHvXDmuWhgpb+qyouO5v&#10;zsD32/OC65vbjSeHbB1w2642x5Mxg363nIJK1KV/89/1ygq+0Ms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2HXEAAAA2wAAAA8AAAAAAAAAAAAAAAAAmAIAAGRycy9k&#10;b3ducmV2LnhtbFBLBQYAAAAABAAEAPUAAACJAw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1"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c5b8A&#10;AADbAAAADwAAAGRycy9kb3ducmV2LnhtbESPzQrCMBCE74LvEFbwpmk9iFSjiCB68OIfXpdmbYvN&#10;pjZRW5/eCIK3XWZ25tvZojGleFLtCssK4mEEgji1uuBMwem4HkxAOI+ssbRMClpysJh3OzNMtH3x&#10;np4Hn4kQwi5BBbn3VSKlS3My6Ia2Ig7a1dYGfVjrTOoaXyHclHIURWNpsODQkGNFq5zS2+FhFFyy&#10;d1SN7j6ON+c2gL0Lvd21SvV7zXIKwlPj/+bf9VYH/Bi+v4QB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6Fzl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2"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Fa8EA&#10;AADbAAAADwAAAGRycy9kb3ducmV2LnhtbERPS2vCQBC+C/6HZYTezMaA1qauQYRKaU9VEXqbZicP&#10;zM6G3a1J/323UPA2H99zNsVoOnEj51vLChZJCoK4tLrlWsH59DJfg/ABWWNnmRT8kIdiO51sMNd2&#10;4A+6HUMtYgj7HBU0IfS5lL5syKBPbE8cuco6gyFCV0vtcIjhppNZmq6kwZZjQ4M97Rsqr8dvo8BK&#10;chVdHtun7M2s3sPnoVp+GaUeZuPuGUSgMdzF/+5XHedn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8BWvBAAAA2wAAAA8AAAAAAAAAAAAAAAAAmAIAAGRycy9kb3du&#10;cmV2LnhtbFBLBQYAAAAABAAEAPUAAACG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3"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DIr8A&#10;AADbAAAADwAAAGRycy9kb3ducmV2LnhtbERPS2sCMRC+F/wPYQrearbaimyNooLQHn2ex810E3Yz&#10;WZKo23/fFITe5uN7znzZu1bcKETrWcHrqABBXHltuVZwPGxfZiBiQtbYeiYFPxRhuRg8zbHU/s47&#10;uu1TLXIIxxIVmJS6UspYGXIYR74jzty3Dw5ThqGWOuA9h7tWjotiKh1azg0GO9oYqpr91SkIJq2b&#10;43tYvzWb89f2Yu3l5K1Sw+d+9QEiUZ/+xQ/3p87zJ/D3Sz5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cMivwAAANsAAAAPAAAAAAAAAAAAAAAAAJgCAABkcnMvZG93bnJl&#10;di54bWxQSwUGAAAAAAQABAD1AAAAhAMAAAAA&#10;" path="m,l33,69r-9,l12,35,,xe" fillcolor="#1f497d [3215]" strokecolor="#1f497d [3215]" strokeweight="0">
                      <v:path arrowok="t" o:connecttype="custom" o:connectlocs="0,0;52388,109538;38100,109538;19050,55563;0,0" o:connectangles="0,0,0,0,0"/>
                    </v:shape>
                    <v:shape id="Freeform 14"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i3MAA&#10;AADbAAAADwAAAGRycy9kb3ducmV2LnhtbERP3WrCMBS+H/gO4QjejJlOxh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Ki3MAAAADbAAAADwAAAAAAAAAAAAAAAACYAgAAZHJzL2Rvd25y&#10;ZXYueG1sUEsFBgAAAAAEAAQA9QAAAIUDAAAAAA==&#10;" path="m,l9,37r,3l15,93,5,49,,xe" fillcolor="#1f497d [3215]" strokecolor="#1f497d [3215]" strokeweight="0">
                      <v:path arrowok="t" o:connecttype="custom" o:connectlocs="0,0;14288,58738;14288,63500;23813,147638;7938,77788;0,0" o:connectangles="0,0,0,0,0,0"/>
                    </v:shape>
                    <v:shape id="Freeform 15"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IMAA&#10;AADbAAAADwAAAGRycy9kb3ducmV2LnhtbERPTUsDMRC9C/6HMII3m1VokbVpaRXBk2JbKN6GzTRZ&#10;3UxCEjfbf28Ewds83ucs15MbxEgx9Z4V3M4aEMSd1z0bBYf98809iJSRNQ6eScGZEqxXlxdLbLUv&#10;/E7jLhtRQzi1qMDmHFopU2fJYZr5QFy5k48Oc4XRSB2x1HA3yLumWUiHPdcGi4EeLXVfu2+n4Lgw&#10;JcyL/fgMZXs2b0+n12hHpa6vps0DiExT/hf/uV90nT+H31/qA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jIM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6"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qL8QA&#10;AADbAAAADwAAAGRycy9kb3ducmV2LnhtbERPTWvCQBC9C/6HZQpeRDfNQUp0lVLRlhYhTUXwNman&#10;STA7G7KrJv31bqHQ2zze5yxWnanFlVpXWVbwOI1AEOdWV1wo2H9tJk8gnEfWWFsmBT05WC2HgwUm&#10;2t74k66ZL0QIYZeggtL7JpHS5SUZdFPbEAfu27YGfYBtIXWLtxBuahlH0UwarDg0lNjQS0n5ObsY&#10;Bbt3f+Rxmp7in9ftetsf4o+0j5UaPXTPcxCeOv8v/nO/6TB/Br+/h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Ki/EAAAA2wAAAA8AAAAAAAAAAAAAAAAAmAIAAGRycy9k&#10;b3ducmV2LnhtbFBLBQYAAAAABAAEAPUAAACJAw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17"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T68IA&#10;AADbAAAADwAAAGRycy9kb3ducmV2LnhtbERPS2vCQBC+C/6HZYTedFMRK9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FPrwgAAANsAAAAPAAAAAAAAAAAAAAAAAJgCAABkcnMvZG93&#10;bnJldi54bWxQSwUGAAAAAAQABAD1AAAAhwMAAAAA&#10;" path="m,l31,65r-8,l,xe" fillcolor="#1f497d [3215]" strokecolor="#1f497d [3215]" strokeweight="0">
                      <v:path arrowok="t" o:connecttype="custom" o:connectlocs="0,0;49213,103188;36513,103188;0,0" o:connectangles="0,0,0,0"/>
                    </v:shape>
                    <v:shape id="Freeform 18"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3LSMUA&#10;AADbAAAADwAAAGRycy9kb3ducmV2LnhtbESPQW/CMAyF75P4D5En7TbScRhbISBAQuI0aZRN2s1q&#10;TFtonJJk0PHr8QFpN1vv+b3P03nvWnWmEBvPBl6GGSji0tuGKwO7Yv38BiomZIutZzLwRxHms8HD&#10;FHPrL/xJ522qlIRwzNFAnVKXax3LmhzGoe+IRdv74DDJGiptA14k3LV6lGWv2mHD0lBjR6uayuP2&#10;1xk4bK788zFerk/dOzfL6lB8fYfCmKfHfjEBlahP/+b79cYKvsDKLzK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ctIxQAAANsAAAAPAAAAAAAAAAAAAAAAAJgCAABkcnMv&#10;ZG93bnJldi54bWxQSwUGAAAAAAQABAD1AAAAigMAAAAA&#10;" path="m,l6,17,7,42,6,39,,23,,xe" fillcolor="#1f497d [3215]" strokecolor="#1f497d [3215]" strokeweight="0">
                      <v:path arrowok="t" o:connecttype="custom" o:connectlocs="0,0;9525,26988;11113,66675;9525,61913;0,36513;0,0" o:connectangles="0,0,0,0,0,0"/>
                    </v:shape>
                    <v:shape id="Freeform 448"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sOcEA&#10;AADcAAAADwAAAGRycy9kb3ducmV2LnhtbERPy4rCMBTdC/5DuII7TRUZpGMURxBFGPC1cXdprm1n&#10;mpuaRNvx6ycLweXhvGeL1lTiQc6XlhWMhgkI4szqknMF59N6MAXhA7LGyjIp+CMPi3m3M8NU24YP&#10;9DiGXMQQ9ikqKEKoUyl9VpBBP7Q1ceSu1hkMEbpcaodNDDeVHCfJhzRYcmwosKZVQdnv8W4U2Ca7&#10;f7lLhbflj9k8r9/NePfcK9XvtctPEIHa8Ba/3FutYDKJa+OZe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xLDnBAAAA3AAAAA8AAAAAAAAAAAAAAAAAmAIAAGRycy9kb3du&#10;cmV2LnhtbFBLBQYAAAAABAAEAPUAAACGAw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449"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o:lock v:ext="edit" aspectratio="t"/>
                    <v:shape id="Freeform 450"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M9kMQA&#10;AADcAAAADwAAAGRycy9kb3ducmV2LnhtbERPy2oCMRTdF/oP4Rbc1YylFhmNIgXbLupbweVlcp2Z&#10;dnIznWQ0+vVmUXB5OO/RJJhKnKhxpWUFvW4CgjizuuRcwW47ex6AcB5ZY2WZFFzIwWT8+DDCVNsz&#10;r+m08bmIIexSVFB4X6dSuqwgg65ra+LIHW1j0EfY5FI3eI7hppIvSfImDZYcGwqs6b2g7HfTGgWL&#10;+fWw/Fy1s5/vYP7a/SJ8zJdBqc5TmA5BeAr+Lv53f2kFr/04P56JR0C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PZDEAAAA3AAAAA8AAAAAAAAAAAAAAAAAmAIAAGRycy9k&#10;b3ducmV2LnhtbFBLBQYAAAAABAAEAPUAAACJAw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451"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o2cQA&#10;AADcAAAADwAAAGRycy9kb3ducmV2LnhtbESP0WrCQBRE3wv+w3ILfSl1k6IiqZsgtkWfFKMfcMle&#10;k9Ds3ZBdk/TvXUHwcZiZM8wqG00jeupcbVlBPI1AEBdW11wqOJ9+P5YgnEfW2FgmBf/kIEsnLytM&#10;tB34SH3uSxEg7BJUUHnfJlK6oiKDbmpb4uBdbGfQB9mVUnc4BLhp5GcULaTBmsNChS1tKir+8qtR&#10;kO/52v7M+Xz4PryPZruIzWUTK/X2Oq6/QHga/TP8aO+0gtk8hvuZcAR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kaNnEAAAA3AAAAA8AAAAAAAAAAAAAAAAAmAIAAGRycy9k&#10;b3ducmV2LnhtbFBLBQYAAAAABAAEAPUAAACJAw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452"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J8YA&#10;AADcAAAADwAAAGRycy9kb3ducmV2LnhtbESPT2sCMRTE74LfITyhN81Wa5GtUUSw9rRY20OPr5u3&#10;f3DzEjbR3fbTG0HwOMzMb5jlujeNuFDra8sKnicJCOLc6ppLBd9fu/EChA/IGhvLpOCPPKxXw8ES&#10;U207/qTLMZQiQtinqKAKwaVS+rwig35iHXH0CtsaDFG2pdQtdhFuGjlNkldpsOa4UKGjbUX56Xg2&#10;Cor3w8nsf4r/xe+52882WeZmLlPqadRv3kAE6sMjfG9/aAUv8ync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zJ8YAAADcAAAADwAAAAAAAAAAAAAAAACYAgAAZHJz&#10;L2Rvd25yZXYueG1sUEsFBgAAAAAEAAQA9QAAAIsDAAAAAA==&#10;" path="m,l16,72r4,49l18,112,,31,,xe" fillcolor="#1f497d [3215]" strokecolor="#1f497d [3215]" strokeweight="0">
                      <v:fill opacity="13107f"/>
                      <v:stroke opacity="13107f"/>
                      <v:path arrowok="t" o:connecttype="custom" o:connectlocs="0,0;25400,114300;31750,192088;28575,177800;0,49213;0,0" o:connectangles="0,0,0,0,0,0"/>
                    </v:shape>
                    <v:shape id="Freeform 453"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jTsMA&#10;AADcAAAADwAAAGRycy9kb3ducmV2LnhtbESPW2sCMRSE3wv+h3AE32ripVZWo4igFKEP3t4Pm9PN&#10;4uZk2UR3/feNUOjjMDPfMMt15yrxoCaUnjWMhgoEce5NyYWGy3n3PgcRIrLByjNpeFKA9ar3tsTM&#10;+JaP9DjFQiQIhww12BjrTMqQW3IYhr4mTt6PbxzGJJtCmgbbBHeVHCs1kw5LTgsWa9paym+nu9PA&#10;h3Gw3AZlZt/z6fNzf1Wj3VXrQb/bLEBE6uJ/+K/9ZTRMPybwOp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AjTsMAAADcAAAADwAAAAAAAAAAAAAAAACYAgAAZHJzL2Rv&#10;d25yZXYueG1sUEsFBgAAAAAEAAQA9QAAAIgD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454"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4QGMYA&#10;AADcAAAADwAAAGRycy9kb3ducmV2LnhtbESPQWvCQBSE74X+h+UJvdWNEkWim2AtheClrVXQ2yP7&#10;TILZtyG7NfHfdwuCx2FmvmFW2WAacaXO1ZYVTMYRCOLC6ppLBfufj9cFCOeRNTaWScGNHGTp89MK&#10;E217/qbrzpciQNglqKDyvk2kdEVFBt3YtsTBO9vOoA+yK6XusA9w08hpFM2lwZrDQoUtbSoqLrtf&#10;o6D9envvNye3rQ/TxeBvh/zzVB6VehkN6yUIT4N/hO/tXCuIZzH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4QGMYAAADcAAAADwAAAAAAAAAAAAAAAACYAgAAZHJz&#10;L2Rvd25yZXYueG1sUEsFBgAAAAAEAAQA9QAAAIsDAAAAAA==&#10;" path="m,l33,71r-9,l11,36,,xe" fillcolor="#1f497d [3215]" strokecolor="#1f497d [3215]" strokeweight="0">
                      <v:fill opacity="13107f"/>
                      <v:stroke opacity="13107f"/>
                      <v:path arrowok="t" o:connecttype="custom" o:connectlocs="0,0;52388,112713;38100,112713;17463,57150;0,0" o:connectangles="0,0,0,0,0"/>
                    </v:shape>
                    <v:shape id="Freeform 455"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8FcUA&#10;AADcAAAADwAAAGRycy9kb3ducmV2LnhtbESPQWsCMRSE70L/Q3hCb5rVdkVWo0hBKHgoui3o7bl5&#10;bhY3L0uS6vbfN4WCx2FmvmGW69624kY+NI4VTMYZCOLK6YZrBZ/ldjQHESKyxtYxKfihAOvV02CJ&#10;hXZ33tPtEGuRIBwKVGBi7AopQ2XIYhi7jjh5F+ctxiR9LbXHe4LbVk6zbCYtNpwWDHb0Zqi6Hr6t&#10;gq/dh+/09LQ9z1425VG6nab9WannYb9ZgIjUx0f4v/2uFbzm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zwVxQAAANwAAAAPAAAAAAAAAAAAAAAAAJgCAABkcnMv&#10;ZG93bnJldi54bWxQSwUGAAAAAAQABAD1AAAAigMAAAAA&#10;" path="m,l8,37r,4l15,95,4,49,,xe" fillcolor="#1f497d [3215]" strokecolor="#1f497d [3215]" strokeweight="0">
                      <v:fill opacity="13107f"/>
                      <v:stroke opacity="13107f"/>
                      <v:path arrowok="t" o:connecttype="custom" o:connectlocs="0,0;12700,58738;12700,65088;23813,150813;6350,77788;0,0" o:connectangles="0,0,0,0,0,0"/>
                    </v:shape>
                    <v:shape id="Freeform 456"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US0sUA&#10;AADcAAAADwAAAGRycy9kb3ducmV2LnhtbESPT2sCMRTE74V+h/AK3mpWUSlbo4j/EAtCt7309tg8&#10;N6ubl2UTdfXTG0HocZj5zTDjaWsrcabGl44V9LoJCOLc6ZILBb8/q/cPED4ga6wck4IreZhOXl/G&#10;mGp34W86Z6EQsYR9igpMCHUqpc8NWfRdVxNHb+8aiyHKppC6wUsst5XsJ8lIWiw5LhisaW4oP2Yn&#10;q2Aw355uy11fL7IB68P6y/R2f0apzls7+wQRqA3/4Se90ZEbjuBxJh4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RLSxQAAANwAAAAPAAAAAAAAAAAAAAAAAJgCAABkcnMv&#10;ZG93bnJldi54bWxQSwUGAAAAAAQABAD1AAAAigM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457"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83m8UA&#10;AADcAAAADwAAAGRycy9kb3ducmV2LnhtbESPzW7CMBCE70h9B2uRegMHlPCTYhCiRcqFAz8PsI23&#10;SdR4ncYmSd8eV6rEcTQ73+xsdoOpRUetqywrmE0jEMS51RUXCm7X42QFwnlkjbVlUvBLDnbbl9EG&#10;U217PlN38YUIEHYpKii9b1IpXV6SQTe1DXHwvmxr0AfZFlK32Ae4qeU8ihbSYMWhocSGDiXl35e7&#10;CW/gh1/Fy+KH9l3yfr9+rrNTtVbqdTzs30B4Gvzz+D+daQVxsoS/MYEA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zebxQAAANwAAAAPAAAAAAAAAAAAAAAAAJgCAABkcnMv&#10;ZG93bnJldi54bWxQSwUGAAAAAAQABAD1AAAAigM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458"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dvcMA&#10;AADcAAAADwAAAGRycy9kb3ducmV2LnhtbERPz2vCMBS+D/wfwhN2EU0dTl01yhgb7jKGGsZ2eyTP&#10;tti8lCbW7r9fDsKOH9/v9bZ3teioDZVnBdNJBoLYeFtxoUAf38ZLECEiW6w9k4JfCrDdDO7WmFt/&#10;5T11h1iIFMIhRwVljE0uZTAlOQwT3xAn7uRbhzHBtpC2xWsKd7V8yLK5dFhxaiixoZeSzPlwcQro&#10;u3v6+PypzIL1q9ZfdNE7M1Lqftg/r0BE6uO/+OZ+twpmj2ltOp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WdvcMAAADcAAAADwAAAAAAAAAAAAAAAACYAgAAZHJzL2Rv&#10;d25yZXYueG1sUEsFBgAAAAAEAAQA9QAAAIgDAAAAAA==&#10;" path="m,l31,66r-7,l,xe" fillcolor="#1f497d [3215]" strokecolor="#1f497d [3215]" strokeweight="0">
                      <v:fill opacity="13107f"/>
                      <v:stroke opacity="13107f"/>
                      <v:path arrowok="t" o:connecttype="custom" o:connectlocs="0,0;49213,104775;38100,104775;0,0" o:connectangles="0,0,0,0"/>
                    </v:shape>
                    <v:shape id="Freeform 459"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tcQA&#10;AADcAAAADwAAAGRycy9kb3ducmV2LnhtbESPQWsCMRSE7wX/Q3hCb92sRYuuG0VKhV6E1ip4fCTP&#10;zermZdmkuvrrm0Khx2FmvmHKZe8acaEu1J4VjLIcBLH2puZKwe5r/TQFESKywcYzKbhRgOVi8FBi&#10;YfyVP+myjZVIEA4FKrAxtoWUQVtyGDLfEifv6DuHMcmukqbDa4K7Rj7n+Yt0WHNasNjSqyV93n47&#10;BbU94WZ/1wH38m3n9enjIKlS6nHYr+YgIvXxP/zXfjcKxpMZ/J5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qbXEAAAA3AAAAA8AAAAAAAAAAAAAAAAAmAIAAGRycy9k&#10;b3ducmV2LnhtbFBLBQYAAAAABAAEAPUAAACJAwAAAAA=&#10;" path="m,l7,17r,26l6,40,,25,,xe" fillcolor="#1f497d [3215]" strokecolor="#1f497d [3215]" strokeweight="0">
                      <v:fill opacity="13107f"/>
                      <v:stroke opacity="13107f"/>
                      <v:path arrowok="t" o:connecttype="custom" o:connectlocs="0,0;11113,26988;11113,68263;9525,63500;0,39688;0,0" o:connectangles="0,0,0,0,0,0"/>
                    </v:shape>
                    <v:shape id="Freeform 460"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wDcAA&#10;AADcAAAADwAAAGRycy9kb3ducmV2LnhtbERPTYvCMBC9L/gfwgje1lSRsluNooIg9qQreB2bsSk2&#10;k9BErf9+c1jY4+N9L1a9bcWTutA4VjAZZyCIK6cbrhWcf3afXyBCRNbYOiYFbwqwWg4+Flho9+Ij&#10;PU+xFimEQ4EKTIy+kDJUhiyGsfPEibu5zmJMsKul7vCVwm0rp1mWS4sNpwaDnraGqvvpYRWUG/Pd&#10;1MfDpNzI3F99edmvzxelRsN+PQcRqY//4j/3XiuY5Wl+OpOO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wDcAAAADcAAAADwAAAAAAAAAAAAAAAACYAgAAZHJzL2Rvd25y&#10;ZXYueG1sUEsFBgAAAAAEAAQA9QAAAIUD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Pr="00D17625">
            <w:rPr>
              <w:noProof/>
              <w:lang w:val="el-GR" w:eastAsia="ja-JP"/>
            </w:rPr>
            <w:pict>
              <v:shapetype id="_x0000_t202" coordsize="21600,21600" o:spt="202" path="m,l,21600r21600,l21600,xe">
                <v:stroke joinstyle="miter"/>
                <v:path gradientshapeok="t" o:connecttype="rect"/>
              </v:shapetype>
              <v:shape id="Text Box 461"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xYdAIAAF0FAAAOAAAAZHJzL2Uyb0RvYy54bWysVN9P2zAQfp+0/8Hy+0gLo5sqUtSBmCYh&#10;QMDEs+vYbTTH59luk+6v32cnKYjthWkvzuXuu/P9+M5n511j2E75UJMt+fRowpmykqrarkv+/fHq&#10;w2fOQhS2EoasKvleBX6+eP/urHVzdUwbMpXyDEFsmLeu5JsY3bwogtyoRoQjcsrCqMk3IuLXr4vK&#10;ixbRG1McTyazoiVfOU9ShQDtZW/kixxfayXjrdZBRWZKjtxiPn0+V+ksFmdivvbCbWo5pCH+IYtG&#10;1BaXHkJdiijY1td/hGpq6SmQjkeSmoK0rqXKNaCa6eRVNQ8b4VSuBc0J7tCm8P/CypvdnWd1VfKP&#10;sylnVjQY0qPqIvtCHUs6dKh1YQ7ggwM0djBg0qM+QJkK77Rv0hclMdjR6/2hvymchPJkdvppNoFJ&#10;wtb/pDDFs7fzIX5V1LAklNxjfrmtYncdYg8dIekyS1e1MXmGxrK25LOT00l2OFgQ3NiEVZkNQ5hU&#10;UZ95luLeqIQx9l5pdCMXkBSZh+rCeLYTYJCQUtmYa89xgU4ojSTe4jjgn7N6i3Nfx3gz2XhwbmpL&#10;Plf/Ku3qx5iy7vHo+Yu6kxi7VZdpcBjsiqo95u2p35ng5FWNoVyLEO+Ex5Jgjlj8eItDG0LzaZA4&#10;25D/9Td9woO7sHLWYulKHn5uhVecmW8WrE4bOgp+FFajYLfNBWEK4CmyySIcfDSjqD01T3gPlukW&#10;mISVuKvkq1G8iP3q4z2RarnMIOyhE/HaPjiZQqehJIo9dk/Cu4GHEQy+oXEdxfwVHXts5otbbiNI&#10;mbma+tp3ceg3djizfXhv0iPx8j+jnl/FxW8A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I3drFh0AgAAXQUAAA4AAAAAAAAAAAAA&#10;AAAALgIAAGRycy9lMm9Eb2MueG1sUEsBAi0AFAAGAAgAAAAhANFL0G7ZAAAABAEAAA8AAAAAAAAA&#10;AAAAAAAAzgQAAGRycy9kb3ducmV2LnhtbFBLBQYAAAAABAAEAPMAAADUBQAAAAA=&#10;" filled="f" stroked="f" strokeweight=".5pt">
                <v:textbox style="mso-fit-shape-to-text:t" inset="0,0,0,0">
                  <w:txbxContent>
                    <w:p w:rsidR="00903A78" w:rsidRDefault="00D17625">
                      <w:pPr>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903A78">
                            <w:rPr>
                              <w:color w:val="4F81BD" w:themeColor="accent1"/>
                              <w:sz w:val="26"/>
                              <w:szCs w:val="26"/>
                            </w:rPr>
                            <w:t>GREEK COUNCIL FOR REFUGEES</w:t>
                          </w:r>
                        </w:sdtContent>
                      </w:sdt>
                    </w:p>
                    <w:p w:rsidR="00903A78" w:rsidRDefault="00D17625">
                      <w:pPr>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sidR="00E26A30">
                            <w:rPr>
                              <w:caps/>
                              <w:color w:val="595959" w:themeColor="text1" w:themeTint="A6"/>
                              <w:sz w:val="20"/>
                              <w:szCs w:val="20"/>
                            </w:rPr>
                            <w:t xml:space="preserve">     </w:t>
                          </w:r>
                        </w:sdtContent>
                      </w:sdt>
                    </w:p>
                  </w:txbxContent>
                </v:textbox>
                <w10:wrap anchorx="page" anchory="page"/>
              </v:shape>
            </w:pict>
          </w:r>
          <w:r w:rsidRPr="00D17625">
            <w:rPr>
              <w:noProof/>
              <w:lang w:val="el-GR" w:eastAsia="ja-JP"/>
            </w:rPr>
            <w:pict>
              <v:shape id="Text Box 462"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ZegIAAF4FAAAOAAAAZHJzL2Uyb0RvYy54bWysVEtv2zAMvg/YfxB0X+30kXVBnCJr0WFA&#10;0RZrh54VWWqMSaImMbGzXz9KttMi26XDLjJNfqT4+Kj5RWcN26oQG3AVnxyVnCknoW7cc8W/P15/&#10;OOcsonC1MOBUxXcq8ovF+3fz1s/UMazB1CowCuLirPUVXyP6WVFEuVZWxCPwypFRQ7AC6Tc8F3UQ&#10;LUW3pjguy2nRQqh9AKliJO1Vb+SLHF9rJfFO66iQmYpTbpjPkM9VOovFXMyeg/DrRg5piH/IworG&#10;0aX7UFcCBduE5o9QtpEBImg8kmAL0LqRKtdA1UzKg2oe1sKrXAs1J/p9m+L/Cytvt/eBNXXFT6fH&#10;nDlhaUiPqkP2GTqWdNSh1scZAR88QbEjA0161EdSpsI7HWz6UkmM7NTr3b6/KZwk5cn07OO0JJMk&#10;26Scfjo/PU9xihd3HyJ+UWBZEioeaIC5r2J7E7GHjpB0m4Prxpg8RONYW/HpyVmZHfYWCm5cwqpM&#10;hyFMKqlPPUu4MyphjPumNLUjV5AUmYjq0gS2FUQhIaVymIvPcQmdUJqSeIvjgH/J6i3OfR3jzeBw&#10;72wbByFXf5B2/WNMWfd46vmrupOI3arLPNhPfAX1jgYeoF+a6OV1Q0O5ERHvRaAtoUHS5uMdHdoA&#10;NR8GibM1hF9/0yc8kZesnLW0dRWPPzciKM7MV0e0Tis6CmEUVqPgNvYSaAoTelO8zCI5BDSjqAPY&#10;J3oQlukWMgkn6a6K4yheYr/79KBItVxmEC2iF3jjHrxModNQEsUeuycR/MBDJArfwriPYnZAxx6b&#10;+eKXGyRSZq6mvvZdHPpNS5zZPjw46ZV4/Z9RL8/i4jcAAAD//wMAUEsDBBQABgAIAAAAIQDIz6gV&#10;2AAAAAUBAAAPAAAAZHJzL2Rvd25yZXYueG1sTI/BTsMwEETvSP0Haytxo04pCVGIU0GlHjlQ+AA7&#10;XuKIeB1itwl/z8IFLiuNZjT7pt4vfhAXnGIfSMF2k4FAaoPtqVPw9nq8KUHEpMnqIRAq+MII+2Z1&#10;VevKhple8HJKneASipVW4FIaKylj69DruAkjEnvvYfI6sZw6aSc9c7kf5G2WFdLrnviD0yMeHLYf&#10;p7NX8Gzu7K78NNvuOD9Za1Lpct8qdb1eHh9AJFzSXxh+8BkdGmYy4Uw2ikEBD0m/l738vmBpOFSU&#10;Ocimlv/pm28AAAD//wMAUEsBAi0AFAAGAAgAAAAhALaDOJL+AAAA4QEAABMAAAAAAAAAAAAAAAAA&#10;AAAAAFtDb250ZW50X1R5cGVzXS54bWxQSwECLQAUAAYACAAAACEAOP0h/9YAAACUAQAACwAAAAAA&#10;AAAAAAAAAAAvAQAAX3JlbHMvLnJlbHNQSwECLQAUAAYACAAAACEAv1XHmXoCAABeBQAADgAAAAAA&#10;AAAAAAAAAAAuAgAAZHJzL2Uyb0RvYy54bWxQSwECLQAUAAYACAAAACEAyM+oFdgAAAAFAQAADwAA&#10;AAAAAAAAAAAAAADUBAAAZHJzL2Rvd25yZXYueG1sUEsFBgAAAAAEAAQA8wAAANkFAAAAAA==&#10;" filled="f" stroked="f" strokeweight=".5pt">
                <v:textbox style="mso-fit-shape-to-text:t" inset="0,0,0,0">
                  <w:txbxContent>
                    <w:p w:rsidR="00903A78" w:rsidRDefault="00D17625">
                      <w:pP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903A78">
                            <w:rPr>
                              <w:rFonts w:asciiTheme="majorHAnsi" w:eastAsiaTheme="majorEastAsia" w:hAnsiTheme="majorHAnsi" w:cstheme="majorBidi"/>
                              <w:color w:val="262626" w:themeColor="text1" w:themeTint="D9"/>
                              <w:sz w:val="72"/>
                              <w:szCs w:val="72"/>
                            </w:rPr>
                            <w:t>HATE CRIMES</w:t>
                          </w:r>
                        </w:sdtContent>
                      </w:sdt>
                    </w:p>
                    <w:p w:rsidR="00903A78" w:rsidRDefault="00D17625">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903A78">
                            <w:rPr>
                              <w:color w:val="404040" w:themeColor="text1" w:themeTint="BF"/>
                              <w:sz w:val="36"/>
                              <w:szCs w:val="36"/>
                              <w:lang w:val="en-GB"/>
                            </w:rPr>
                            <w:t>TRAINING MODULE</w:t>
                          </w:r>
                        </w:sdtContent>
                      </w:sdt>
                    </w:p>
                  </w:txbxContent>
                </v:textbox>
                <w10:wrap anchorx="page" anchory="page"/>
              </v:shape>
            </w:pict>
          </w:r>
        </w:p>
        <w:p w:rsidR="00903A78" w:rsidRDefault="00903A78">
          <w:pPr>
            <w:rPr>
              <w:color w:val="FFFFFF" w:themeColor="background1"/>
              <w:lang w:val="en-GB"/>
            </w:rPr>
          </w:pPr>
          <w:r>
            <w:rPr>
              <w:color w:val="FFFFFF" w:themeColor="background1"/>
              <w:lang w:val="en-GB"/>
            </w:rPr>
            <w:br w:type="page"/>
          </w:r>
        </w:p>
      </w:sdtContent>
    </w:sdt>
    <w:sdt>
      <w:sdtPr>
        <w:rPr>
          <w:rFonts w:asciiTheme="minorHAnsi" w:eastAsiaTheme="minorEastAsia" w:hAnsiTheme="minorHAnsi" w:cstheme="minorBidi"/>
          <w:color w:val="auto"/>
          <w:sz w:val="22"/>
          <w:szCs w:val="22"/>
          <w:lang w:val="el-GR" w:eastAsia="ja-JP"/>
        </w:rPr>
        <w:id w:val="-475071560"/>
        <w:docPartObj>
          <w:docPartGallery w:val="Table of Contents"/>
          <w:docPartUnique/>
        </w:docPartObj>
      </w:sdtPr>
      <w:sdtEndPr>
        <w:rPr>
          <w:b/>
          <w:bCs/>
          <w:noProof/>
        </w:rPr>
      </w:sdtEndPr>
      <w:sdtContent>
        <w:p w:rsidR="00F95992" w:rsidRDefault="00F95992">
          <w:pPr>
            <w:pStyle w:val="Tartalomjegyzkcmsora"/>
          </w:pPr>
          <w:r>
            <w:t>Contents</w:t>
          </w:r>
        </w:p>
        <w:p w:rsidR="00F42C1D" w:rsidRDefault="00D17625">
          <w:pPr>
            <w:pStyle w:val="TJ1"/>
            <w:tabs>
              <w:tab w:val="right" w:leader="dot" w:pos="8296"/>
            </w:tabs>
            <w:rPr>
              <w:noProof/>
            </w:rPr>
          </w:pPr>
          <w:r w:rsidRPr="00D17625">
            <w:fldChar w:fldCharType="begin"/>
          </w:r>
          <w:r w:rsidR="00F95992">
            <w:instrText xml:space="preserve"> TOC \o "1-3" \h \z \u </w:instrText>
          </w:r>
          <w:r w:rsidRPr="00D17625">
            <w:fldChar w:fldCharType="separate"/>
          </w:r>
          <w:hyperlink w:anchor="_Toc490844990" w:history="1">
            <w:r w:rsidR="00F42C1D" w:rsidRPr="00540A92">
              <w:rPr>
                <w:rStyle w:val="Hiperhivatkozs"/>
                <w:noProof/>
                <w:lang w:val="en-US"/>
              </w:rPr>
              <w:t>1. The nature of “hate crime”</w:t>
            </w:r>
            <w:r w:rsidR="00F42C1D">
              <w:rPr>
                <w:noProof/>
                <w:webHidden/>
              </w:rPr>
              <w:tab/>
            </w:r>
            <w:r>
              <w:rPr>
                <w:noProof/>
                <w:webHidden/>
              </w:rPr>
              <w:fldChar w:fldCharType="begin"/>
            </w:r>
            <w:r w:rsidR="00F42C1D">
              <w:rPr>
                <w:noProof/>
                <w:webHidden/>
              </w:rPr>
              <w:instrText xml:space="preserve"> PAGEREF _Toc490844990 \h </w:instrText>
            </w:r>
            <w:r>
              <w:rPr>
                <w:noProof/>
                <w:webHidden/>
              </w:rPr>
            </w:r>
            <w:r>
              <w:rPr>
                <w:noProof/>
                <w:webHidden/>
              </w:rPr>
              <w:fldChar w:fldCharType="separate"/>
            </w:r>
            <w:r w:rsidR="00F42C1D">
              <w:rPr>
                <w:noProof/>
                <w:webHidden/>
              </w:rPr>
              <w:t>2</w:t>
            </w:r>
            <w:r>
              <w:rPr>
                <w:noProof/>
                <w:webHidden/>
              </w:rPr>
              <w:fldChar w:fldCharType="end"/>
            </w:r>
          </w:hyperlink>
        </w:p>
        <w:p w:rsidR="00F42C1D" w:rsidRDefault="00D17625">
          <w:pPr>
            <w:pStyle w:val="TJ2"/>
            <w:tabs>
              <w:tab w:val="right" w:leader="dot" w:pos="8296"/>
            </w:tabs>
            <w:rPr>
              <w:noProof/>
            </w:rPr>
          </w:pPr>
          <w:hyperlink w:anchor="_Toc490844991" w:history="1">
            <w:r w:rsidR="00F42C1D" w:rsidRPr="00540A92">
              <w:rPr>
                <w:rStyle w:val="Hiperhivatkozs"/>
                <w:noProof/>
                <w:lang w:val="en-US"/>
              </w:rPr>
              <w:t>1.1 On Bias</w:t>
            </w:r>
            <w:r w:rsidR="00F42C1D">
              <w:rPr>
                <w:noProof/>
                <w:webHidden/>
              </w:rPr>
              <w:tab/>
            </w:r>
            <w:r>
              <w:rPr>
                <w:noProof/>
                <w:webHidden/>
              </w:rPr>
              <w:fldChar w:fldCharType="begin"/>
            </w:r>
            <w:r w:rsidR="00F42C1D">
              <w:rPr>
                <w:noProof/>
                <w:webHidden/>
              </w:rPr>
              <w:instrText xml:space="preserve"> PAGEREF _Toc490844991 \h </w:instrText>
            </w:r>
            <w:r>
              <w:rPr>
                <w:noProof/>
                <w:webHidden/>
              </w:rPr>
            </w:r>
            <w:r>
              <w:rPr>
                <w:noProof/>
                <w:webHidden/>
              </w:rPr>
              <w:fldChar w:fldCharType="separate"/>
            </w:r>
            <w:r w:rsidR="00F42C1D">
              <w:rPr>
                <w:noProof/>
                <w:webHidden/>
              </w:rPr>
              <w:t>2</w:t>
            </w:r>
            <w:r>
              <w:rPr>
                <w:noProof/>
                <w:webHidden/>
              </w:rPr>
              <w:fldChar w:fldCharType="end"/>
            </w:r>
          </w:hyperlink>
        </w:p>
        <w:p w:rsidR="00F42C1D" w:rsidRDefault="00D17625">
          <w:pPr>
            <w:pStyle w:val="TJ2"/>
            <w:tabs>
              <w:tab w:val="right" w:leader="dot" w:pos="8296"/>
            </w:tabs>
            <w:rPr>
              <w:noProof/>
            </w:rPr>
          </w:pPr>
          <w:hyperlink w:anchor="_Toc490844992" w:history="1">
            <w:r w:rsidR="00F42C1D" w:rsidRPr="00540A92">
              <w:rPr>
                <w:rStyle w:val="Hiperhivatkozs"/>
                <w:noProof/>
                <w:lang w:val="en-US"/>
              </w:rPr>
              <w:t>1.2 Protected Characteristics</w:t>
            </w:r>
            <w:r w:rsidR="00F42C1D">
              <w:rPr>
                <w:noProof/>
                <w:webHidden/>
              </w:rPr>
              <w:tab/>
            </w:r>
            <w:r>
              <w:rPr>
                <w:noProof/>
                <w:webHidden/>
              </w:rPr>
              <w:fldChar w:fldCharType="begin"/>
            </w:r>
            <w:r w:rsidR="00F42C1D">
              <w:rPr>
                <w:noProof/>
                <w:webHidden/>
              </w:rPr>
              <w:instrText xml:space="preserve"> PAGEREF _Toc490844992 \h </w:instrText>
            </w:r>
            <w:r>
              <w:rPr>
                <w:noProof/>
                <w:webHidden/>
              </w:rPr>
            </w:r>
            <w:r>
              <w:rPr>
                <w:noProof/>
                <w:webHidden/>
              </w:rPr>
              <w:fldChar w:fldCharType="separate"/>
            </w:r>
            <w:r w:rsidR="00F42C1D">
              <w:rPr>
                <w:noProof/>
                <w:webHidden/>
              </w:rPr>
              <w:t>6</w:t>
            </w:r>
            <w:r>
              <w:rPr>
                <w:noProof/>
                <w:webHidden/>
              </w:rPr>
              <w:fldChar w:fldCharType="end"/>
            </w:r>
          </w:hyperlink>
        </w:p>
        <w:p w:rsidR="00F42C1D" w:rsidRDefault="00D17625">
          <w:pPr>
            <w:pStyle w:val="TJ2"/>
            <w:tabs>
              <w:tab w:val="right" w:leader="dot" w:pos="8296"/>
            </w:tabs>
            <w:rPr>
              <w:noProof/>
            </w:rPr>
          </w:pPr>
          <w:hyperlink w:anchor="_Toc490844993" w:history="1">
            <w:r w:rsidR="00F42C1D" w:rsidRPr="00540A92">
              <w:rPr>
                <w:rStyle w:val="Hiperhivatkozs"/>
                <w:noProof/>
                <w:lang w:val="en-US"/>
              </w:rPr>
              <w:t>1.3 Victimization on the basis of Protected Characteristics</w:t>
            </w:r>
            <w:r w:rsidR="00F42C1D">
              <w:rPr>
                <w:noProof/>
                <w:webHidden/>
              </w:rPr>
              <w:tab/>
            </w:r>
            <w:r>
              <w:rPr>
                <w:noProof/>
                <w:webHidden/>
              </w:rPr>
              <w:fldChar w:fldCharType="begin"/>
            </w:r>
            <w:r w:rsidR="00F42C1D">
              <w:rPr>
                <w:noProof/>
                <w:webHidden/>
              </w:rPr>
              <w:instrText xml:space="preserve"> PAGEREF _Toc490844993 \h </w:instrText>
            </w:r>
            <w:r>
              <w:rPr>
                <w:noProof/>
                <w:webHidden/>
              </w:rPr>
            </w:r>
            <w:r>
              <w:rPr>
                <w:noProof/>
                <w:webHidden/>
              </w:rPr>
              <w:fldChar w:fldCharType="separate"/>
            </w:r>
            <w:r w:rsidR="00F42C1D">
              <w:rPr>
                <w:noProof/>
                <w:webHidden/>
              </w:rPr>
              <w:t>7</w:t>
            </w:r>
            <w:r>
              <w:rPr>
                <w:noProof/>
                <w:webHidden/>
              </w:rPr>
              <w:fldChar w:fldCharType="end"/>
            </w:r>
          </w:hyperlink>
        </w:p>
        <w:p w:rsidR="00F42C1D" w:rsidRDefault="00D17625">
          <w:pPr>
            <w:pStyle w:val="TJ1"/>
            <w:tabs>
              <w:tab w:val="right" w:leader="dot" w:pos="8296"/>
            </w:tabs>
            <w:rPr>
              <w:noProof/>
            </w:rPr>
          </w:pPr>
          <w:hyperlink w:anchor="_Toc490844994" w:history="1">
            <w:r w:rsidR="00F42C1D" w:rsidRPr="00540A92">
              <w:rPr>
                <w:rStyle w:val="Hiperhivatkozs"/>
                <w:noProof/>
                <w:lang w:val="en-US"/>
              </w:rPr>
              <w:t>2. Implications of hate crimes</w:t>
            </w:r>
            <w:r w:rsidR="00F42C1D">
              <w:rPr>
                <w:noProof/>
                <w:webHidden/>
              </w:rPr>
              <w:tab/>
            </w:r>
            <w:r>
              <w:rPr>
                <w:noProof/>
                <w:webHidden/>
              </w:rPr>
              <w:fldChar w:fldCharType="begin"/>
            </w:r>
            <w:r w:rsidR="00F42C1D">
              <w:rPr>
                <w:noProof/>
                <w:webHidden/>
              </w:rPr>
              <w:instrText xml:space="preserve"> PAGEREF _Toc490844994 \h </w:instrText>
            </w:r>
            <w:r>
              <w:rPr>
                <w:noProof/>
                <w:webHidden/>
              </w:rPr>
            </w:r>
            <w:r>
              <w:rPr>
                <w:noProof/>
                <w:webHidden/>
              </w:rPr>
              <w:fldChar w:fldCharType="separate"/>
            </w:r>
            <w:r w:rsidR="00F42C1D">
              <w:rPr>
                <w:noProof/>
                <w:webHidden/>
              </w:rPr>
              <w:t>12</w:t>
            </w:r>
            <w:r>
              <w:rPr>
                <w:noProof/>
                <w:webHidden/>
              </w:rPr>
              <w:fldChar w:fldCharType="end"/>
            </w:r>
          </w:hyperlink>
        </w:p>
        <w:p w:rsidR="00F42C1D" w:rsidRDefault="00D17625">
          <w:pPr>
            <w:pStyle w:val="TJ2"/>
            <w:tabs>
              <w:tab w:val="right" w:leader="dot" w:pos="8296"/>
            </w:tabs>
            <w:rPr>
              <w:noProof/>
            </w:rPr>
          </w:pPr>
          <w:hyperlink w:anchor="_Toc490844995" w:history="1">
            <w:r w:rsidR="00F42C1D" w:rsidRPr="00540A92">
              <w:rPr>
                <w:rStyle w:val="Hiperhivatkozs"/>
                <w:noProof/>
                <w:lang w:val="en-US" w:eastAsia="en-US"/>
              </w:rPr>
              <w:t>2.1 Implications for the victim(s)</w:t>
            </w:r>
            <w:r w:rsidR="00F42C1D">
              <w:rPr>
                <w:noProof/>
                <w:webHidden/>
              </w:rPr>
              <w:tab/>
            </w:r>
            <w:r>
              <w:rPr>
                <w:noProof/>
                <w:webHidden/>
              </w:rPr>
              <w:fldChar w:fldCharType="begin"/>
            </w:r>
            <w:r w:rsidR="00F42C1D">
              <w:rPr>
                <w:noProof/>
                <w:webHidden/>
              </w:rPr>
              <w:instrText xml:space="preserve"> PAGEREF _Toc490844995 \h </w:instrText>
            </w:r>
            <w:r>
              <w:rPr>
                <w:noProof/>
                <w:webHidden/>
              </w:rPr>
            </w:r>
            <w:r>
              <w:rPr>
                <w:noProof/>
                <w:webHidden/>
              </w:rPr>
              <w:fldChar w:fldCharType="separate"/>
            </w:r>
            <w:r w:rsidR="00F42C1D">
              <w:rPr>
                <w:noProof/>
                <w:webHidden/>
              </w:rPr>
              <w:t>13</w:t>
            </w:r>
            <w:r>
              <w:rPr>
                <w:noProof/>
                <w:webHidden/>
              </w:rPr>
              <w:fldChar w:fldCharType="end"/>
            </w:r>
          </w:hyperlink>
        </w:p>
        <w:p w:rsidR="00F42C1D" w:rsidRDefault="00D17625">
          <w:pPr>
            <w:pStyle w:val="TJ2"/>
            <w:tabs>
              <w:tab w:val="right" w:leader="dot" w:pos="8296"/>
            </w:tabs>
            <w:rPr>
              <w:noProof/>
            </w:rPr>
          </w:pPr>
          <w:hyperlink w:anchor="_Toc490844996" w:history="1">
            <w:r w:rsidR="00F42C1D" w:rsidRPr="00540A92">
              <w:rPr>
                <w:rStyle w:val="Hiperhivatkozs"/>
                <w:noProof/>
                <w:lang w:val="en-US" w:eastAsia="en-US"/>
              </w:rPr>
              <w:t>2.2 Implications for society</w:t>
            </w:r>
            <w:r w:rsidR="00F42C1D">
              <w:rPr>
                <w:noProof/>
                <w:webHidden/>
              </w:rPr>
              <w:tab/>
            </w:r>
            <w:r>
              <w:rPr>
                <w:noProof/>
                <w:webHidden/>
              </w:rPr>
              <w:fldChar w:fldCharType="begin"/>
            </w:r>
            <w:r w:rsidR="00F42C1D">
              <w:rPr>
                <w:noProof/>
                <w:webHidden/>
              </w:rPr>
              <w:instrText xml:space="preserve"> PAGEREF _Toc490844996 \h </w:instrText>
            </w:r>
            <w:r>
              <w:rPr>
                <w:noProof/>
                <w:webHidden/>
              </w:rPr>
            </w:r>
            <w:r>
              <w:rPr>
                <w:noProof/>
                <w:webHidden/>
              </w:rPr>
              <w:fldChar w:fldCharType="separate"/>
            </w:r>
            <w:r w:rsidR="00F42C1D">
              <w:rPr>
                <w:noProof/>
                <w:webHidden/>
              </w:rPr>
              <w:t>15</w:t>
            </w:r>
            <w:r>
              <w:rPr>
                <w:noProof/>
                <w:webHidden/>
              </w:rPr>
              <w:fldChar w:fldCharType="end"/>
            </w:r>
          </w:hyperlink>
        </w:p>
        <w:p w:rsidR="00F42C1D" w:rsidRDefault="00D17625">
          <w:pPr>
            <w:pStyle w:val="TJ1"/>
            <w:tabs>
              <w:tab w:val="right" w:leader="dot" w:pos="8296"/>
            </w:tabs>
            <w:rPr>
              <w:noProof/>
            </w:rPr>
          </w:pPr>
          <w:hyperlink w:anchor="_Toc490844997" w:history="1">
            <w:r w:rsidR="00F42C1D" w:rsidRPr="00540A92">
              <w:rPr>
                <w:rStyle w:val="Hiperhivatkozs"/>
                <w:noProof/>
                <w:lang w:val="en-US" w:eastAsia="en-US"/>
              </w:rPr>
              <w:t>3. Addressing hate crimes</w:t>
            </w:r>
            <w:r w:rsidR="00F42C1D">
              <w:rPr>
                <w:noProof/>
                <w:webHidden/>
              </w:rPr>
              <w:tab/>
            </w:r>
            <w:r>
              <w:rPr>
                <w:noProof/>
                <w:webHidden/>
              </w:rPr>
              <w:fldChar w:fldCharType="begin"/>
            </w:r>
            <w:r w:rsidR="00F42C1D">
              <w:rPr>
                <w:noProof/>
                <w:webHidden/>
              </w:rPr>
              <w:instrText xml:space="preserve"> PAGEREF _Toc490844997 \h </w:instrText>
            </w:r>
            <w:r>
              <w:rPr>
                <w:noProof/>
                <w:webHidden/>
              </w:rPr>
            </w:r>
            <w:r>
              <w:rPr>
                <w:noProof/>
                <w:webHidden/>
              </w:rPr>
              <w:fldChar w:fldCharType="separate"/>
            </w:r>
            <w:r w:rsidR="00F42C1D">
              <w:rPr>
                <w:noProof/>
                <w:webHidden/>
              </w:rPr>
              <w:t>17</w:t>
            </w:r>
            <w:r>
              <w:rPr>
                <w:noProof/>
                <w:webHidden/>
              </w:rPr>
              <w:fldChar w:fldCharType="end"/>
            </w:r>
          </w:hyperlink>
        </w:p>
        <w:p w:rsidR="00F42C1D" w:rsidRDefault="00D17625">
          <w:pPr>
            <w:pStyle w:val="TJ2"/>
            <w:tabs>
              <w:tab w:val="right" w:leader="dot" w:pos="8296"/>
            </w:tabs>
            <w:rPr>
              <w:noProof/>
            </w:rPr>
          </w:pPr>
          <w:hyperlink w:anchor="_Toc490844998" w:history="1">
            <w:r w:rsidR="00F42C1D" w:rsidRPr="00540A92">
              <w:rPr>
                <w:rStyle w:val="Hiperhivatkozs"/>
                <w:noProof/>
                <w:lang w:val="en-US" w:eastAsia="en-US"/>
              </w:rPr>
              <w:t>3.1 Obligations</w:t>
            </w:r>
            <w:r w:rsidR="00F42C1D">
              <w:rPr>
                <w:noProof/>
                <w:webHidden/>
              </w:rPr>
              <w:tab/>
            </w:r>
            <w:r>
              <w:rPr>
                <w:noProof/>
                <w:webHidden/>
              </w:rPr>
              <w:fldChar w:fldCharType="begin"/>
            </w:r>
            <w:r w:rsidR="00F42C1D">
              <w:rPr>
                <w:noProof/>
                <w:webHidden/>
              </w:rPr>
              <w:instrText xml:space="preserve"> PAGEREF _Toc490844998 \h </w:instrText>
            </w:r>
            <w:r>
              <w:rPr>
                <w:noProof/>
                <w:webHidden/>
              </w:rPr>
            </w:r>
            <w:r>
              <w:rPr>
                <w:noProof/>
                <w:webHidden/>
              </w:rPr>
              <w:fldChar w:fldCharType="separate"/>
            </w:r>
            <w:r w:rsidR="00F42C1D">
              <w:rPr>
                <w:noProof/>
                <w:webHidden/>
              </w:rPr>
              <w:t>21</w:t>
            </w:r>
            <w:r>
              <w:rPr>
                <w:noProof/>
                <w:webHidden/>
              </w:rPr>
              <w:fldChar w:fldCharType="end"/>
            </w:r>
          </w:hyperlink>
        </w:p>
        <w:p w:rsidR="00F42C1D" w:rsidRDefault="00D17625">
          <w:pPr>
            <w:pStyle w:val="TJ1"/>
            <w:tabs>
              <w:tab w:val="right" w:leader="dot" w:pos="8296"/>
            </w:tabs>
            <w:rPr>
              <w:noProof/>
            </w:rPr>
          </w:pPr>
          <w:hyperlink w:anchor="_Toc490844999" w:history="1">
            <w:r w:rsidR="00F42C1D" w:rsidRPr="00540A92">
              <w:rPr>
                <w:rStyle w:val="Hiperhivatkozs"/>
                <w:noProof/>
                <w:lang w:val="en-US" w:eastAsia="en-US"/>
              </w:rPr>
              <w:t>4. Instruments</w:t>
            </w:r>
            <w:r w:rsidR="00F42C1D">
              <w:rPr>
                <w:noProof/>
                <w:webHidden/>
              </w:rPr>
              <w:tab/>
            </w:r>
            <w:r>
              <w:rPr>
                <w:noProof/>
                <w:webHidden/>
              </w:rPr>
              <w:fldChar w:fldCharType="begin"/>
            </w:r>
            <w:r w:rsidR="00F42C1D">
              <w:rPr>
                <w:noProof/>
                <w:webHidden/>
              </w:rPr>
              <w:instrText xml:space="preserve"> PAGEREF _Toc490844999 \h </w:instrText>
            </w:r>
            <w:r>
              <w:rPr>
                <w:noProof/>
                <w:webHidden/>
              </w:rPr>
            </w:r>
            <w:r>
              <w:rPr>
                <w:noProof/>
                <w:webHidden/>
              </w:rPr>
              <w:fldChar w:fldCharType="separate"/>
            </w:r>
            <w:r w:rsidR="00F42C1D">
              <w:rPr>
                <w:noProof/>
                <w:webHidden/>
              </w:rPr>
              <w:t>22</w:t>
            </w:r>
            <w:r>
              <w:rPr>
                <w:noProof/>
                <w:webHidden/>
              </w:rPr>
              <w:fldChar w:fldCharType="end"/>
            </w:r>
          </w:hyperlink>
        </w:p>
        <w:p w:rsidR="00F42C1D" w:rsidRDefault="00D17625">
          <w:pPr>
            <w:pStyle w:val="TJ2"/>
            <w:tabs>
              <w:tab w:val="right" w:leader="dot" w:pos="8296"/>
            </w:tabs>
            <w:rPr>
              <w:noProof/>
            </w:rPr>
          </w:pPr>
          <w:hyperlink w:anchor="_Toc490845000" w:history="1">
            <w:r w:rsidR="00F42C1D" w:rsidRPr="00540A92">
              <w:rPr>
                <w:rStyle w:val="Hiperhivatkozs"/>
                <w:noProof/>
                <w:lang w:val="en-US"/>
              </w:rPr>
              <w:t>4.1. Universal instruments</w:t>
            </w:r>
            <w:r w:rsidR="00F42C1D">
              <w:rPr>
                <w:noProof/>
                <w:webHidden/>
              </w:rPr>
              <w:tab/>
            </w:r>
            <w:r>
              <w:rPr>
                <w:noProof/>
                <w:webHidden/>
              </w:rPr>
              <w:fldChar w:fldCharType="begin"/>
            </w:r>
            <w:r w:rsidR="00F42C1D">
              <w:rPr>
                <w:noProof/>
                <w:webHidden/>
              </w:rPr>
              <w:instrText xml:space="preserve"> PAGEREF _Toc490845000 \h </w:instrText>
            </w:r>
            <w:r>
              <w:rPr>
                <w:noProof/>
                <w:webHidden/>
              </w:rPr>
            </w:r>
            <w:r>
              <w:rPr>
                <w:noProof/>
                <w:webHidden/>
              </w:rPr>
              <w:fldChar w:fldCharType="separate"/>
            </w:r>
            <w:r w:rsidR="00F42C1D">
              <w:rPr>
                <w:noProof/>
                <w:webHidden/>
              </w:rPr>
              <w:t>22</w:t>
            </w:r>
            <w:r>
              <w:rPr>
                <w:noProof/>
                <w:webHidden/>
              </w:rPr>
              <w:fldChar w:fldCharType="end"/>
            </w:r>
          </w:hyperlink>
        </w:p>
        <w:p w:rsidR="00F42C1D" w:rsidRDefault="00D17625">
          <w:pPr>
            <w:pStyle w:val="TJ3"/>
            <w:tabs>
              <w:tab w:val="right" w:leader="dot" w:pos="8296"/>
            </w:tabs>
            <w:rPr>
              <w:noProof/>
            </w:rPr>
          </w:pPr>
          <w:hyperlink w:anchor="_Toc490845001" w:history="1">
            <w:r w:rsidR="00F42C1D" w:rsidRPr="00540A92">
              <w:rPr>
                <w:rStyle w:val="Hiperhivatkozs"/>
                <w:noProof/>
                <w:lang w:val="en-US"/>
              </w:rPr>
              <w:t>4.1.1 Universal Declaration of Human Rights (link)</w:t>
            </w:r>
            <w:r w:rsidR="00F42C1D">
              <w:rPr>
                <w:noProof/>
                <w:webHidden/>
              </w:rPr>
              <w:tab/>
            </w:r>
            <w:r>
              <w:rPr>
                <w:noProof/>
                <w:webHidden/>
              </w:rPr>
              <w:fldChar w:fldCharType="begin"/>
            </w:r>
            <w:r w:rsidR="00F42C1D">
              <w:rPr>
                <w:noProof/>
                <w:webHidden/>
              </w:rPr>
              <w:instrText xml:space="preserve"> PAGEREF _Toc490845001 \h </w:instrText>
            </w:r>
            <w:r>
              <w:rPr>
                <w:noProof/>
                <w:webHidden/>
              </w:rPr>
            </w:r>
            <w:r>
              <w:rPr>
                <w:noProof/>
                <w:webHidden/>
              </w:rPr>
              <w:fldChar w:fldCharType="separate"/>
            </w:r>
            <w:r w:rsidR="00F42C1D">
              <w:rPr>
                <w:noProof/>
                <w:webHidden/>
              </w:rPr>
              <w:t>22</w:t>
            </w:r>
            <w:r>
              <w:rPr>
                <w:noProof/>
                <w:webHidden/>
              </w:rPr>
              <w:fldChar w:fldCharType="end"/>
            </w:r>
          </w:hyperlink>
        </w:p>
        <w:p w:rsidR="00F42C1D" w:rsidRDefault="00D17625">
          <w:pPr>
            <w:pStyle w:val="TJ3"/>
            <w:tabs>
              <w:tab w:val="right" w:leader="dot" w:pos="8296"/>
            </w:tabs>
            <w:rPr>
              <w:noProof/>
            </w:rPr>
          </w:pPr>
          <w:hyperlink w:anchor="_Toc490845002" w:history="1">
            <w:r w:rsidR="00F42C1D" w:rsidRPr="00540A92">
              <w:rPr>
                <w:rStyle w:val="Hiperhivatkozs"/>
                <w:noProof/>
                <w:lang w:val="en-US"/>
              </w:rPr>
              <w:t>4.1.2. International Covenant on Civil and Political Rights (link)</w:t>
            </w:r>
            <w:r w:rsidR="00F42C1D">
              <w:rPr>
                <w:noProof/>
                <w:webHidden/>
              </w:rPr>
              <w:tab/>
            </w:r>
            <w:r>
              <w:rPr>
                <w:noProof/>
                <w:webHidden/>
              </w:rPr>
              <w:fldChar w:fldCharType="begin"/>
            </w:r>
            <w:r w:rsidR="00F42C1D">
              <w:rPr>
                <w:noProof/>
                <w:webHidden/>
              </w:rPr>
              <w:instrText xml:space="preserve"> PAGEREF _Toc490845002 \h </w:instrText>
            </w:r>
            <w:r>
              <w:rPr>
                <w:noProof/>
                <w:webHidden/>
              </w:rPr>
            </w:r>
            <w:r>
              <w:rPr>
                <w:noProof/>
                <w:webHidden/>
              </w:rPr>
              <w:fldChar w:fldCharType="separate"/>
            </w:r>
            <w:r w:rsidR="00F42C1D">
              <w:rPr>
                <w:noProof/>
                <w:webHidden/>
              </w:rPr>
              <w:t>22</w:t>
            </w:r>
            <w:r>
              <w:rPr>
                <w:noProof/>
                <w:webHidden/>
              </w:rPr>
              <w:fldChar w:fldCharType="end"/>
            </w:r>
          </w:hyperlink>
        </w:p>
        <w:p w:rsidR="00F42C1D" w:rsidRDefault="00D17625">
          <w:pPr>
            <w:pStyle w:val="TJ3"/>
            <w:tabs>
              <w:tab w:val="right" w:leader="dot" w:pos="8296"/>
            </w:tabs>
            <w:rPr>
              <w:noProof/>
            </w:rPr>
          </w:pPr>
          <w:hyperlink w:anchor="_Toc490845003" w:history="1">
            <w:r w:rsidR="00F42C1D" w:rsidRPr="00540A92">
              <w:rPr>
                <w:rStyle w:val="Hiperhivatkozs"/>
                <w:noProof/>
                <w:lang w:val="en-US"/>
              </w:rPr>
              <w:t>4.1.3. International Convention on the Elimination of All Forms of Racial Discrimination (link)</w:t>
            </w:r>
            <w:r w:rsidR="00F42C1D">
              <w:rPr>
                <w:noProof/>
                <w:webHidden/>
              </w:rPr>
              <w:tab/>
            </w:r>
            <w:r>
              <w:rPr>
                <w:noProof/>
                <w:webHidden/>
              </w:rPr>
              <w:fldChar w:fldCharType="begin"/>
            </w:r>
            <w:r w:rsidR="00F42C1D">
              <w:rPr>
                <w:noProof/>
                <w:webHidden/>
              </w:rPr>
              <w:instrText xml:space="preserve"> PAGEREF _Toc490845003 \h </w:instrText>
            </w:r>
            <w:r>
              <w:rPr>
                <w:noProof/>
                <w:webHidden/>
              </w:rPr>
            </w:r>
            <w:r>
              <w:rPr>
                <w:noProof/>
                <w:webHidden/>
              </w:rPr>
              <w:fldChar w:fldCharType="separate"/>
            </w:r>
            <w:r w:rsidR="00F42C1D">
              <w:rPr>
                <w:noProof/>
                <w:webHidden/>
              </w:rPr>
              <w:t>23</w:t>
            </w:r>
            <w:r>
              <w:rPr>
                <w:noProof/>
                <w:webHidden/>
              </w:rPr>
              <w:fldChar w:fldCharType="end"/>
            </w:r>
          </w:hyperlink>
        </w:p>
        <w:p w:rsidR="00F42C1D" w:rsidRDefault="00D17625">
          <w:pPr>
            <w:pStyle w:val="TJ2"/>
            <w:tabs>
              <w:tab w:val="right" w:leader="dot" w:pos="8296"/>
            </w:tabs>
            <w:rPr>
              <w:noProof/>
            </w:rPr>
          </w:pPr>
          <w:hyperlink w:anchor="_Toc490845004" w:history="1">
            <w:r w:rsidR="00F42C1D" w:rsidRPr="00540A92">
              <w:rPr>
                <w:rStyle w:val="Hiperhivatkozs"/>
                <w:noProof/>
                <w:lang w:val="en-US"/>
              </w:rPr>
              <w:t>4.2. European instruments</w:t>
            </w:r>
            <w:r w:rsidR="00F42C1D">
              <w:rPr>
                <w:noProof/>
                <w:webHidden/>
              </w:rPr>
              <w:tab/>
            </w:r>
            <w:r>
              <w:rPr>
                <w:noProof/>
                <w:webHidden/>
              </w:rPr>
              <w:fldChar w:fldCharType="begin"/>
            </w:r>
            <w:r w:rsidR="00F42C1D">
              <w:rPr>
                <w:noProof/>
                <w:webHidden/>
              </w:rPr>
              <w:instrText xml:space="preserve"> PAGEREF _Toc490845004 \h </w:instrText>
            </w:r>
            <w:r>
              <w:rPr>
                <w:noProof/>
                <w:webHidden/>
              </w:rPr>
            </w:r>
            <w:r>
              <w:rPr>
                <w:noProof/>
                <w:webHidden/>
              </w:rPr>
              <w:fldChar w:fldCharType="separate"/>
            </w:r>
            <w:r w:rsidR="00F42C1D">
              <w:rPr>
                <w:noProof/>
                <w:webHidden/>
              </w:rPr>
              <w:t>24</w:t>
            </w:r>
            <w:r>
              <w:rPr>
                <w:noProof/>
                <w:webHidden/>
              </w:rPr>
              <w:fldChar w:fldCharType="end"/>
            </w:r>
          </w:hyperlink>
        </w:p>
        <w:p w:rsidR="00F42C1D" w:rsidRDefault="00D17625">
          <w:pPr>
            <w:pStyle w:val="TJ3"/>
            <w:tabs>
              <w:tab w:val="right" w:leader="dot" w:pos="8296"/>
            </w:tabs>
            <w:rPr>
              <w:noProof/>
            </w:rPr>
          </w:pPr>
          <w:hyperlink w:anchor="_Toc490845005" w:history="1">
            <w:r w:rsidR="00F42C1D" w:rsidRPr="00540A92">
              <w:rPr>
                <w:rStyle w:val="Hiperhivatkozs"/>
                <w:noProof/>
                <w:lang w:val="en-US"/>
              </w:rPr>
              <w:t>4.2.1. European Union</w:t>
            </w:r>
            <w:r w:rsidR="00F42C1D">
              <w:rPr>
                <w:noProof/>
                <w:webHidden/>
              </w:rPr>
              <w:tab/>
            </w:r>
            <w:r>
              <w:rPr>
                <w:noProof/>
                <w:webHidden/>
              </w:rPr>
              <w:fldChar w:fldCharType="begin"/>
            </w:r>
            <w:r w:rsidR="00F42C1D">
              <w:rPr>
                <w:noProof/>
                <w:webHidden/>
              </w:rPr>
              <w:instrText xml:space="preserve"> PAGEREF _Toc490845005 \h </w:instrText>
            </w:r>
            <w:r>
              <w:rPr>
                <w:noProof/>
                <w:webHidden/>
              </w:rPr>
            </w:r>
            <w:r>
              <w:rPr>
                <w:noProof/>
                <w:webHidden/>
              </w:rPr>
              <w:fldChar w:fldCharType="separate"/>
            </w:r>
            <w:r w:rsidR="00F42C1D">
              <w:rPr>
                <w:noProof/>
                <w:webHidden/>
              </w:rPr>
              <w:t>24</w:t>
            </w:r>
            <w:r>
              <w:rPr>
                <w:noProof/>
                <w:webHidden/>
              </w:rPr>
              <w:fldChar w:fldCharType="end"/>
            </w:r>
          </w:hyperlink>
        </w:p>
        <w:p w:rsidR="00F42C1D" w:rsidRDefault="00D17625">
          <w:pPr>
            <w:pStyle w:val="TJ3"/>
            <w:tabs>
              <w:tab w:val="right" w:leader="dot" w:pos="8296"/>
            </w:tabs>
            <w:rPr>
              <w:noProof/>
            </w:rPr>
          </w:pPr>
          <w:hyperlink w:anchor="_Toc490845006" w:history="1">
            <w:r w:rsidR="00F42C1D" w:rsidRPr="00540A92">
              <w:rPr>
                <w:rStyle w:val="Hiperhivatkozs"/>
                <w:noProof/>
                <w:lang w:val="en-US"/>
              </w:rPr>
              <w:t>4.2.2. Council of Europe</w:t>
            </w:r>
            <w:r w:rsidR="00F42C1D">
              <w:rPr>
                <w:noProof/>
                <w:webHidden/>
              </w:rPr>
              <w:tab/>
            </w:r>
            <w:r>
              <w:rPr>
                <w:noProof/>
                <w:webHidden/>
              </w:rPr>
              <w:fldChar w:fldCharType="begin"/>
            </w:r>
            <w:r w:rsidR="00F42C1D">
              <w:rPr>
                <w:noProof/>
                <w:webHidden/>
              </w:rPr>
              <w:instrText xml:space="preserve"> PAGEREF _Toc490845006 \h </w:instrText>
            </w:r>
            <w:r>
              <w:rPr>
                <w:noProof/>
                <w:webHidden/>
              </w:rPr>
            </w:r>
            <w:r>
              <w:rPr>
                <w:noProof/>
                <w:webHidden/>
              </w:rPr>
              <w:fldChar w:fldCharType="separate"/>
            </w:r>
            <w:r w:rsidR="00F42C1D">
              <w:rPr>
                <w:noProof/>
                <w:webHidden/>
              </w:rPr>
              <w:t>27</w:t>
            </w:r>
            <w:r>
              <w:rPr>
                <w:noProof/>
                <w:webHidden/>
              </w:rPr>
              <w:fldChar w:fldCharType="end"/>
            </w:r>
          </w:hyperlink>
        </w:p>
        <w:p w:rsidR="00F42C1D" w:rsidRDefault="00D17625">
          <w:pPr>
            <w:pStyle w:val="TJ3"/>
            <w:tabs>
              <w:tab w:val="right" w:leader="dot" w:pos="8296"/>
            </w:tabs>
            <w:rPr>
              <w:noProof/>
            </w:rPr>
          </w:pPr>
          <w:hyperlink w:anchor="_Toc490845007" w:history="1">
            <w:r w:rsidR="00F42C1D" w:rsidRPr="00540A92">
              <w:rPr>
                <w:rStyle w:val="Hiperhivatkozs"/>
                <w:noProof/>
                <w:lang w:val="en-US"/>
              </w:rPr>
              <w:t>4.2.3. Organization for Security and Co-operation in Europe</w:t>
            </w:r>
            <w:r w:rsidR="00F42C1D">
              <w:rPr>
                <w:noProof/>
                <w:webHidden/>
              </w:rPr>
              <w:tab/>
            </w:r>
            <w:r>
              <w:rPr>
                <w:noProof/>
                <w:webHidden/>
              </w:rPr>
              <w:fldChar w:fldCharType="begin"/>
            </w:r>
            <w:r w:rsidR="00F42C1D">
              <w:rPr>
                <w:noProof/>
                <w:webHidden/>
              </w:rPr>
              <w:instrText xml:space="preserve"> PAGEREF _Toc490845007 \h </w:instrText>
            </w:r>
            <w:r>
              <w:rPr>
                <w:noProof/>
                <w:webHidden/>
              </w:rPr>
            </w:r>
            <w:r>
              <w:rPr>
                <w:noProof/>
                <w:webHidden/>
              </w:rPr>
              <w:fldChar w:fldCharType="separate"/>
            </w:r>
            <w:r w:rsidR="00F42C1D">
              <w:rPr>
                <w:noProof/>
                <w:webHidden/>
              </w:rPr>
              <w:t>28</w:t>
            </w:r>
            <w:r>
              <w:rPr>
                <w:noProof/>
                <w:webHidden/>
              </w:rPr>
              <w:fldChar w:fldCharType="end"/>
            </w:r>
          </w:hyperlink>
        </w:p>
        <w:p w:rsidR="00F42C1D" w:rsidRDefault="00D17625">
          <w:pPr>
            <w:pStyle w:val="TJ1"/>
            <w:tabs>
              <w:tab w:val="right" w:leader="dot" w:pos="8296"/>
            </w:tabs>
            <w:rPr>
              <w:noProof/>
            </w:rPr>
          </w:pPr>
          <w:hyperlink w:anchor="_Toc490845008" w:history="1">
            <w:r w:rsidR="00F42C1D" w:rsidRPr="00540A92">
              <w:rPr>
                <w:rStyle w:val="Hiperhivatkozs"/>
                <w:noProof/>
                <w:lang w:val="en-US"/>
              </w:rPr>
              <w:t>5. References</w:t>
            </w:r>
            <w:r w:rsidR="00F42C1D">
              <w:rPr>
                <w:noProof/>
                <w:webHidden/>
              </w:rPr>
              <w:tab/>
            </w:r>
            <w:r>
              <w:rPr>
                <w:noProof/>
                <w:webHidden/>
              </w:rPr>
              <w:fldChar w:fldCharType="begin"/>
            </w:r>
            <w:r w:rsidR="00F42C1D">
              <w:rPr>
                <w:noProof/>
                <w:webHidden/>
              </w:rPr>
              <w:instrText xml:space="preserve"> PAGEREF _Toc490845008 \h </w:instrText>
            </w:r>
            <w:r>
              <w:rPr>
                <w:noProof/>
                <w:webHidden/>
              </w:rPr>
            </w:r>
            <w:r>
              <w:rPr>
                <w:noProof/>
                <w:webHidden/>
              </w:rPr>
              <w:fldChar w:fldCharType="separate"/>
            </w:r>
            <w:r w:rsidR="00F42C1D">
              <w:rPr>
                <w:noProof/>
                <w:webHidden/>
              </w:rPr>
              <w:t>30</w:t>
            </w:r>
            <w:r>
              <w:rPr>
                <w:noProof/>
                <w:webHidden/>
              </w:rPr>
              <w:fldChar w:fldCharType="end"/>
            </w:r>
          </w:hyperlink>
        </w:p>
        <w:p w:rsidR="00F95992" w:rsidRDefault="00D17625">
          <w:r>
            <w:rPr>
              <w:b/>
              <w:bCs/>
              <w:noProof/>
            </w:rPr>
            <w:fldChar w:fldCharType="end"/>
          </w:r>
        </w:p>
      </w:sdtContent>
    </w:sdt>
    <w:p w:rsidR="00F95992" w:rsidRDefault="00F95992" w:rsidP="003B256E">
      <w:pPr>
        <w:jc w:val="both"/>
        <w:rPr>
          <w:rFonts w:ascii="Times New Roman" w:hAnsi="Times New Roman" w:cs="Times New Roman"/>
          <w:b/>
          <w:bCs/>
          <w:sz w:val="24"/>
          <w:szCs w:val="24"/>
          <w:u w:val="single"/>
          <w:lang w:val="en-US"/>
        </w:rPr>
      </w:pPr>
    </w:p>
    <w:p w:rsidR="00F95992" w:rsidRDefault="00F95992" w:rsidP="003B256E">
      <w:pPr>
        <w:jc w:val="both"/>
        <w:rPr>
          <w:rFonts w:ascii="Times New Roman" w:hAnsi="Times New Roman" w:cs="Times New Roman"/>
          <w:b/>
          <w:bCs/>
          <w:sz w:val="24"/>
          <w:szCs w:val="24"/>
          <w:u w:val="single"/>
          <w:lang w:val="en-US"/>
        </w:rPr>
      </w:pPr>
    </w:p>
    <w:p w:rsidR="00A15260" w:rsidRDefault="00A15260" w:rsidP="003B256E">
      <w:pPr>
        <w:jc w:val="both"/>
        <w:rPr>
          <w:rFonts w:ascii="Times New Roman" w:hAnsi="Times New Roman" w:cs="Times New Roman"/>
          <w:b/>
          <w:bCs/>
          <w:sz w:val="24"/>
          <w:szCs w:val="24"/>
          <w:u w:val="single"/>
          <w:lang w:val="en-US"/>
        </w:rPr>
      </w:pPr>
    </w:p>
    <w:p w:rsidR="00A15260" w:rsidRDefault="00A15260" w:rsidP="003B256E">
      <w:pPr>
        <w:jc w:val="both"/>
        <w:rPr>
          <w:rFonts w:ascii="Times New Roman" w:hAnsi="Times New Roman" w:cs="Times New Roman"/>
          <w:b/>
          <w:bCs/>
          <w:sz w:val="24"/>
          <w:szCs w:val="24"/>
          <w:u w:val="single"/>
          <w:lang w:val="en-US"/>
        </w:rPr>
      </w:pPr>
    </w:p>
    <w:p w:rsidR="00A15260" w:rsidRDefault="00A15260" w:rsidP="003B256E">
      <w:pPr>
        <w:jc w:val="both"/>
        <w:rPr>
          <w:rFonts w:ascii="Times New Roman" w:hAnsi="Times New Roman" w:cs="Times New Roman"/>
          <w:b/>
          <w:bCs/>
          <w:sz w:val="24"/>
          <w:szCs w:val="24"/>
          <w:u w:val="single"/>
          <w:lang w:val="en-US"/>
        </w:rPr>
      </w:pPr>
    </w:p>
    <w:p w:rsidR="00A87978" w:rsidRDefault="00A87978" w:rsidP="003B256E">
      <w:pPr>
        <w:jc w:val="both"/>
        <w:rPr>
          <w:rFonts w:ascii="Times New Roman" w:hAnsi="Times New Roman" w:cs="Times New Roman"/>
          <w:b/>
          <w:bCs/>
          <w:sz w:val="24"/>
          <w:szCs w:val="24"/>
          <w:u w:val="single"/>
          <w:lang w:val="en-US"/>
        </w:rPr>
      </w:pPr>
    </w:p>
    <w:p w:rsidR="008541CA" w:rsidRDefault="008541CA" w:rsidP="003B256E">
      <w:pPr>
        <w:jc w:val="both"/>
        <w:rPr>
          <w:rFonts w:ascii="Times New Roman" w:hAnsi="Times New Roman" w:cs="Times New Roman"/>
          <w:b/>
          <w:bCs/>
          <w:sz w:val="24"/>
          <w:szCs w:val="24"/>
          <w:u w:val="single"/>
          <w:lang w:val="en-US"/>
        </w:rPr>
      </w:pPr>
    </w:p>
    <w:p w:rsidR="008541CA" w:rsidRDefault="008541CA" w:rsidP="003B256E">
      <w:pPr>
        <w:jc w:val="both"/>
        <w:rPr>
          <w:rFonts w:ascii="Times New Roman" w:hAnsi="Times New Roman" w:cs="Times New Roman"/>
          <w:b/>
          <w:bCs/>
          <w:sz w:val="24"/>
          <w:szCs w:val="24"/>
          <w:u w:val="single"/>
          <w:lang w:val="en-US"/>
        </w:rPr>
      </w:pPr>
    </w:p>
    <w:p w:rsidR="00A15260" w:rsidRDefault="00A15260" w:rsidP="003B256E">
      <w:pPr>
        <w:jc w:val="both"/>
        <w:rPr>
          <w:rFonts w:ascii="Times New Roman" w:hAnsi="Times New Roman" w:cs="Times New Roman"/>
          <w:b/>
          <w:bCs/>
          <w:sz w:val="24"/>
          <w:szCs w:val="24"/>
          <w:u w:val="single"/>
          <w:lang w:val="en-US"/>
        </w:rPr>
      </w:pPr>
    </w:p>
    <w:p w:rsidR="003B256E" w:rsidRPr="004521C7" w:rsidRDefault="003B256E" w:rsidP="00A65305">
      <w:pPr>
        <w:pStyle w:val="Cmsor1"/>
        <w:rPr>
          <w:lang w:val="en-US"/>
        </w:rPr>
      </w:pPr>
      <w:bookmarkStart w:id="0" w:name="_Toc490844990"/>
      <w:r w:rsidRPr="004521C7">
        <w:rPr>
          <w:lang w:val="en-US"/>
        </w:rPr>
        <w:lastRenderedPageBreak/>
        <w:t>1. The nature of “hate crime”</w:t>
      </w:r>
      <w:bookmarkEnd w:id="0"/>
    </w:p>
    <w:p w:rsidR="00F95992" w:rsidRDefault="00F95992" w:rsidP="003B256E">
      <w:pPr>
        <w:jc w:val="both"/>
        <w:rPr>
          <w:rStyle w:val="Finomkiemels"/>
          <w:rFonts w:ascii="Times New Roman" w:hAnsi="Times New Roman" w:cs="Times New Roman"/>
          <w:sz w:val="24"/>
          <w:szCs w:val="24"/>
          <w:lang w:val="en-US"/>
        </w:rPr>
      </w:pPr>
    </w:p>
    <w:p w:rsidR="003B256E" w:rsidRPr="00C11153" w:rsidRDefault="003B256E" w:rsidP="003B256E">
      <w:pPr>
        <w:jc w:val="both"/>
        <w:rPr>
          <w:rFonts w:ascii="Times New Roman" w:hAnsi="Times New Roman" w:cs="Times New Roman"/>
          <w:sz w:val="24"/>
          <w:szCs w:val="24"/>
          <w:lang w:val="en-GB"/>
        </w:rPr>
      </w:pPr>
      <w:r w:rsidRPr="004521C7">
        <w:rPr>
          <w:rStyle w:val="Finomkiemels"/>
          <w:rFonts w:ascii="Times New Roman" w:hAnsi="Times New Roman" w:cs="Times New Roman"/>
          <w:sz w:val="24"/>
          <w:szCs w:val="24"/>
          <w:lang w:val="en-US"/>
        </w:rPr>
        <w:t>All human beings are born free and equal in dignity and rights. They are endowed with reason and conscience and should act towards one another in a spirit of brotherhood</w:t>
      </w:r>
      <w:r w:rsidRPr="004521C7">
        <w:rPr>
          <w:rFonts w:ascii="Times New Roman" w:hAnsi="Times New Roman" w:cs="Times New Roman"/>
          <w:i/>
          <w:iCs/>
          <w:sz w:val="24"/>
          <w:szCs w:val="24"/>
          <w:lang w:val="en-US"/>
        </w:rPr>
        <w:t>.</w:t>
      </w:r>
      <w:r w:rsidRPr="004521C7">
        <w:rPr>
          <w:rFonts w:ascii="Times New Roman" w:hAnsi="Times New Roman" w:cs="Times New Roman"/>
          <w:i/>
          <w:iCs/>
          <w:sz w:val="24"/>
          <w:szCs w:val="24"/>
          <w:vertAlign w:val="superscript"/>
        </w:rPr>
        <w:footnoteReference w:id="2"/>
      </w:r>
    </w:p>
    <w:p w:rsidR="001425CF" w:rsidRDefault="003B256E" w:rsidP="001425CF">
      <w:pPr>
        <w:ind w:firstLine="720"/>
        <w:jc w:val="both"/>
        <w:rPr>
          <w:rFonts w:ascii="Times New Roman" w:hAnsi="Times New Roman" w:cs="Times New Roman"/>
          <w:iCs/>
          <w:sz w:val="24"/>
          <w:szCs w:val="24"/>
          <w:lang w:val="en-US"/>
        </w:rPr>
      </w:pPr>
      <w:r w:rsidRPr="004521C7">
        <w:rPr>
          <w:rFonts w:ascii="Times New Roman" w:hAnsi="Times New Roman" w:cs="Times New Roman"/>
          <w:iCs/>
          <w:sz w:val="24"/>
          <w:szCs w:val="24"/>
          <w:lang w:val="en-US"/>
        </w:rPr>
        <w:t>Hate crimes are criminal acts committed with a bias motive.</w:t>
      </w:r>
      <w:r w:rsidRPr="004521C7">
        <w:rPr>
          <w:rFonts w:ascii="Times New Roman" w:hAnsi="Times New Roman" w:cs="Times New Roman"/>
          <w:iCs/>
          <w:sz w:val="24"/>
          <w:szCs w:val="24"/>
          <w:vertAlign w:val="superscript"/>
          <w:lang w:val="en-US"/>
        </w:rPr>
        <w:footnoteReference w:id="3"/>
      </w:r>
      <w:r w:rsidR="004521C7" w:rsidRPr="004521C7">
        <w:rPr>
          <w:rFonts w:ascii="Times New Roman" w:hAnsi="Times New Roman" w:cs="Times New Roman"/>
          <w:iCs/>
          <w:sz w:val="24"/>
          <w:szCs w:val="24"/>
          <w:lang w:val="en-US"/>
        </w:rPr>
        <w:t>Thus</w:t>
      </w:r>
      <w:r w:rsidRPr="004521C7">
        <w:rPr>
          <w:rFonts w:ascii="Times New Roman" w:hAnsi="Times New Roman" w:cs="Times New Roman"/>
          <w:iCs/>
          <w:sz w:val="24"/>
          <w:szCs w:val="24"/>
          <w:lang w:val="en-US"/>
        </w:rPr>
        <w:t xml:space="preserve"> they are also commonly referred to as “bias-motivated” crimes,</w:t>
      </w:r>
      <w:r w:rsidR="004521C7" w:rsidRPr="004521C7">
        <w:rPr>
          <w:rFonts w:ascii="Times New Roman" w:hAnsi="Times New Roman" w:cs="Times New Roman"/>
          <w:iCs/>
          <w:sz w:val="24"/>
          <w:szCs w:val="24"/>
          <w:lang w:val="en-US"/>
        </w:rPr>
        <w:t xml:space="preserve"> which immediately brings to the fore the</w:t>
      </w:r>
      <w:r w:rsidR="004521C7">
        <w:rPr>
          <w:rFonts w:ascii="Times New Roman" w:hAnsi="Times New Roman" w:cs="Times New Roman"/>
          <w:iCs/>
          <w:sz w:val="24"/>
          <w:szCs w:val="24"/>
          <w:lang w:val="en-US"/>
        </w:rPr>
        <w:t>ir two defining characteristics</w:t>
      </w:r>
      <w:r w:rsidRPr="004521C7">
        <w:rPr>
          <w:rFonts w:ascii="Times New Roman" w:hAnsi="Times New Roman" w:cs="Times New Roman"/>
          <w:iCs/>
          <w:sz w:val="24"/>
          <w:szCs w:val="24"/>
          <w:lang w:val="en-US"/>
        </w:rPr>
        <w:t>.The first is that the act committed needs to be recognized as a punishable offence under national or international criminal law. In this context, andnotwithstanding small divergences between states as to the exact array of conducts which may qualify a</w:t>
      </w:r>
      <w:r w:rsidR="004521C7">
        <w:rPr>
          <w:rFonts w:ascii="Times New Roman" w:hAnsi="Times New Roman" w:cs="Times New Roman"/>
          <w:iCs/>
          <w:sz w:val="24"/>
          <w:szCs w:val="24"/>
          <w:lang w:val="en-US"/>
        </w:rPr>
        <w:t>s constitutive of a criminal offence</w:t>
      </w:r>
      <w:r w:rsidRPr="004521C7">
        <w:rPr>
          <w:rFonts w:ascii="Times New Roman" w:hAnsi="Times New Roman" w:cs="Times New Roman"/>
          <w:iCs/>
          <w:sz w:val="24"/>
          <w:szCs w:val="24"/>
          <w:lang w:val="en-US"/>
        </w:rPr>
        <w:t xml:space="preserve"> (as opposed to misdemeanor, for instance),the first prerequisite of a hate crime is a deeply entrenched and essential characteristic of every legal system in every soci</w:t>
      </w:r>
      <w:r w:rsidR="004521C7">
        <w:rPr>
          <w:rFonts w:ascii="Times New Roman" w:hAnsi="Times New Roman" w:cs="Times New Roman"/>
          <w:iCs/>
          <w:sz w:val="24"/>
          <w:szCs w:val="24"/>
          <w:lang w:val="en-US"/>
        </w:rPr>
        <w:t>ety of the world. E</w:t>
      </w:r>
      <w:r w:rsidRPr="004521C7">
        <w:rPr>
          <w:rFonts w:ascii="Times New Roman" w:hAnsi="Times New Roman" w:cs="Times New Roman"/>
          <w:iCs/>
          <w:sz w:val="24"/>
          <w:szCs w:val="24"/>
          <w:lang w:val="en-US"/>
        </w:rPr>
        <w:t>xamples of hate crimes may</w:t>
      </w:r>
      <w:r w:rsidR="004521C7">
        <w:rPr>
          <w:rFonts w:ascii="Times New Roman" w:hAnsi="Times New Roman" w:cs="Times New Roman"/>
          <w:iCs/>
          <w:sz w:val="24"/>
          <w:szCs w:val="24"/>
          <w:lang w:val="en-US"/>
        </w:rPr>
        <w:t xml:space="preserve"> thus</w:t>
      </w:r>
      <w:r w:rsidRPr="004521C7">
        <w:rPr>
          <w:rFonts w:ascii="Times New Roman" w:hAnsi="Times New Roman" w:cs="Times New Roman"/>
          <w:iCs/>
          <w:sz w:val="24"/>
          <w:szCs w:val="24"/>
          <w:lang w:val="en-US"/>
        </w:rPr>
        <w:t xml:space="preserve"> include –without being limited to– </w:t>
      </w:r>
      <w:r w:rsidR="004521C7">
        <w:rPr>
          <w:rFonts w:ascii="Times New Roman" w:hAnsi="Times New Roman" w:cs="Times New Roman"/>
          <w:iCs/>
          <w:sz w:val="24"/>
          <w:szCs w:val="24"/>
          <w:lang w:val="en-US"/>
        </w:rPr>
        <w:t>acts of threat</w:t>
      </w:r>
      <w:r w:rsidRPr="004521C7">
        <w:rPr>
          <w:rFonts w:ascii="Times New Roman" w:hAnsi="Times New Roman" w:cs="Times New Roman"/>
          <w:iCs/>
          <w:sz w:val="24"/>
          <w:szCs w:val="24"/>
          <w:lang w:val="en-US"/>
        </w:rPr>
        <w:t xml:space="preserve"> and/or other attempts at intimidation, damage o</w:t>
      </w:r>
      <w:r w:rsidR="004521C7">
        <w:rPr>
          <w:rFonts w:ascii="Times New Roman" w:hAnsi="Times New Roman" w:cs="Times New Roman"/>
          <w:iCs/>
          <w:sz w:val="24"/>
          <w:szCs w:val="24"/>
          <w:lang w:val="en-US"/>
        </w:rPr>
        <w:t xml:space="preserve">f property, assault and murder. </w:t>
      </w:r>
    </w:p>
    <w:p w:rsidR="00F944F7" w:rsidRPr="004521C7" w:rsidRDefault="003B256E" w:rsidP="001425CF">
      <w:pPr>
        <w:ind w:firstLine="720"/>
        <w:jc w:val="both"/>
        <w:rPr>
          <w:rFonts w:ascii="Times New Roman" w:hAnsi="Times New Roman" w:cs="Times New Roman"/>
          <w:iCs/>
          <w:sz w:val="24"/>
          <w:szCs w:val="24"/>
          <w:lang w:val="en-US"/>
        </w:rPr>
      </w:pPr>
      <w:r w:rsidRPr="004521C7">
        <w:rPr>
          <w:rFonts w:ascii="Times New Roman" w:hAnsi="Times New Roman" w:cs="Times New Roman"/>
          <w:iCs/>
          <w:sz w:val="24"/>
          <w:szCs w:val="24"/>
          <w:lang w:val="en-US"/>
        </w:rPr>
        <w:t>The second</w:t>
      </w:r>
      <w:r w:rsidR="004521C7">
        <w:rPr>
          <w:rFonts w:ascii="Times New Roman" w:hAnsi="Times New Roman" w:cs="Times New Roman"/>
          <w:iCs/>
          <w:sz w:val="24"/>
          <w:szCs w:val="24"/>
          <w:lang w:val="en-US"/>
        </w:rPr>
        <w:t xml:space="preserve"> distinguishing feature, however, which </w:t>
      </w:r>
      <w:r w:rsidR="001425CF">
        <w:rPr>
          <w:rFonts w:ascii="Times New Roman" w:hAnsi="Times New Roman" w:cs="Times New Roman"/>
          <w:iCs/>
          <w:sz w:val="24"/>
          <w:szCs w:val="24"/>
          <w:lang w:val="en-US"/>
        </w:rPr>
        <w:t xml:space="preserve">also serves </w:t>
      </w:r>
      <w:r w:rsidR="004521C7">
        <w:rPr>
          <w:rFonts w:ascii="Times New Roman" w:hAnsi="Times New Roman" w:cs="Times New Roman"/>
          <w:iCs/>
          <w:sz w:val="24"/>
          <w:szCs w:val="24"/>
          <w:lang w:val="en-US"/>
        </w:rPr>
        <w:t>to di</w:t>
      </w:r>
      <w:r w:rsidR="001425CF">
        <w:rPr>
          <w:rFonts w:ascii="Times New Roman" w:hAnsi="Times New Roman" w:cs="Times New Roman"/>
          <w:iCs/>
          <w:sz w:val="24"/>
          <w:szCs w:val="24"/>
          <w:lang w:val="en-US"/>
        </w:rPr>
        <w:t>fferentiate</w:t>
      </w:r>
      <w:r w:rsidR="00CE3181" w:rsidRPr="004521C7">
        <w:rPr>
          <w:rFonts w:ascii="Times New Roman" w:hAnsi="Times New Roman" w:cs="Times New Roman"/>
          <w:iCs/>
          <w:sz w:val="24"/>
          <w:szCs w:val="24"/>
          <w:lang w:val="en-US"/>
        </w:rPr>
        <w:t xml:space="preserve"> “hate” from other crimes</w:t>
      </w:r>
      <w:r w:rsidR="004521C7">
        <w:rPr>
          <w:rFonts w:ascii="Times New Roman" w:hAnsi="Times New Roman" w:cs="Times New Roman"/>
          <w:iCs/>
          <w:sz w:val="24"/>
          <w:szCs w:val="24"/>
          <w:lang w:val="en-US"/>
        </w:rPr>
        <w:t>,</w:t>
      </w:r>
      <w:r w:rsidRPr="004521C7">
        <w:rPr>
          <w:rFonts w:ascii="Times New Roman" w:hAnsi="Times New Roman" w:cs="Times New Roman"/>
          <w:iCs/>
          <w:sz w:val="24"/>
          <w:szCs w:val="24"/>
          <w:lang w:val="en-US"/>
        </w:rPr>
        <w:t xml:space="preserve"> is l</w:t>
      </w:r>
      <w:r w:rsidR="001425CF">
        <w:rPr>
          <w:rFonts w:ascii="Times New Roman" w:hAnsi="Times New Roman" w:cs="Times New Roman"/>
          <w:iCs/>
          <w:sz w:val="24"/>
          <w:szCs w:val="24"/>
          <w:lang w:val="en-US"/>
        </w:rPr>
        <w:t>ess tangible and easy to define, as it pertains to theunderlying motivation</w:t>
      </w:r>
      <w:r w:rsidR="004521C7">
        <w:rPr>
          <w:rFonts w:ascii="Times New Roman" w:hAnsi="Times New Roman" w:cs="Times New Roman"/>
          <w:iCs/>
          <w:sz w:val="24"/>
          <w:szCs w:val="24"/>
          <w:lang w:val="en-US"/>
        </w:rPr>
        <w:t xml:space="preserve"> that triggered</w:t>
      </w:r>
      <w:r w:rsidR="00CE3181" w:rsidRPr="004521C7">
        <w:rPr>
          <w:rFonts w:ascii="Times New Roman" w:hAnsi="Times New Roman" w:cs="Times New Roman"/>
          <w:iCs/>
          <w:sz w:val="24"/>
          <w:szCs w:val="24"/>
          <w:lang w:val="en-US"/>
        </w:rPr>
        <w:t xml:space="preserve"> the</w:t>
      </w:r>
      <w:r w:rsidRPr="004521C7">
        <w:rPr>
          <w:rFonts w:ascii="Times New Roman" w:hAnsi="Times New Roman" w:cs="Times New Roman"/>
          <w:iCs/>
          <w:sz w:val="24"/>
          <w:szCs w:val="24"/>
          <w:lang w:val="en-US"/>
        </w:rPr>
        <w:t xml:space="preserve"> act.</w:t>
      </w:r>
      <w:r w:rsidR="001425CF">
        <w:rPr>
          <w:rFonts w:ascii="Times New Roman" w:hAnsi="Times New Roman" w:cs="Times New Roman"/>
          <w:iCs/>
          <w:sz w:val="24"/>
          <w:szCs w:val="24"/>
          <w:lang w:val="en-US"/>
        </w:rPr>
        <w:t xml:space="preserve"> Namely, for</w:t>
      </w:r>
      <w:r w:rsidRPr="004521C7">
        <w:rPr>
          <w:rFonts w:ascii="Times New Roman" w:hAnsi="Times New Roman" w:cs="Times New Roman"/>
          <w:iCs/>
          <w:sz w:val="24"/>
          <w:szCs w:val="24"/>
          <w:lang w:val="en-US"/>
        </w:rPr>
        <w:t xml:space="preserve"> an offense to constitute a hat</w:t>
      </w:r>
      <w:r w:rsidR="001425CF">
        <w:rPr>
          <w:rFonts w:ascii="Times New Roman" w:hAnsi="Times New Roman" w:cs="Times New Roman"/>
          <w:iCs/>
          <w:sz w:val="24"/>
          <w:szCs w:val="24"/>
          <w:lang w:val="en-US"/>
        </w:rPr>
        <w:t xml:space="preserve">e crime, as opposed to an ordinary offence of the criminal law, </w:t>
      </w:r>
      <w:r w:rsidRPr="004521C7">
        <w:rPr>
          <w:rFonts w:ascii="Times New Roman" w:hAnsi="Times New Roman" w:cs="Times New Roman"/>
          <w:iCs/>
          <w:sz w:val="24"/>
          <w:szCs w:val="24"/>
          <w:lang w:val="en-US"/>
        </w:rPr>
        <w:t>the perpetrator(s) needs to have been motivated by a bi</w:t>
      </w:r>
      <w:r w:rsidR="001425CF">
        <w:rPr>
          <w:rFonts w:ascii="Times New Roman" w:hAnsi="Times New Roman" w:cs="Times New Roman"/>
          <w:iCs/>
          <w:sz w:val="24"/>
          <w:szCs w:val="24"/>
          <w:lang w:val="en-US"/>
        </w:rPr>
        <w:t>ased view towards their target(s); a biased view, m</w:t>
      </w:r>
      <w:r w:rsidR="00C176BE">
        <w:rPr>
          <w:rFonts w:ascii="Times New Roman" w:hAnsi="Times New Roman" w:cs="Times New Roman"/>
          <w:iCs/>
          <w:sz w:val="24"/>
          <w:szCs w:val="24"/>
          <w:lang w:val="en-US"/>
        </w:rPr>
        <w:t>oreover, which needs to have been</w:t>
      </w:r>
      <w:r w:rsidR="001425CF">
        <w:rPr>
          <w:rFonts w:ascii="Times New Roman" w:hAnsi="Times New Roman" w:cs="Times New Roman"/>
          <w:iCs/>
          <w:sz w:val="24"/>
          <w:szCs w:val="24"/>
          <w:lang w:val="en-US"/>
        </w:rPr>
        <w:t xml:space="preserve"> intrinsically linked to the target’s displaying (actually or presumably)one or more protected characteristics, which make him/her a target in the perpetrator’s eyes.</w:t>
      </w:r>
      <w:r w:rsidRPr="004521C7">
        <w:rPr>
          <w:rFonts w:ascii="Times New Roman" w:hAnsi="Times New Roman" w:cs="Times New Roman"/>
          <w:iCs/>
          <w:sz w:val="24"/>
          <w:szCs w:val="24"/>
          <w:lang w:val="en-US"/>
        </w:rPr>
        <w:t xml:space="preserve"> Let us expand on both these aspects before further discussing their interrelation.  </w:t>
      </w:r>
    </w:p>
    <w:p w:rsidR="00A15260" w:rsidRPr="004521C7" w:rsidRDefault="00A15260" w:rsidP="003B256E">
      <w:pPr>
        <w:jc w:val="both"/>
        <w:rPr>
          <w:rFonts w:ascii="Times New Roman" w:hAnsi="Times New Roman" w:cs="Times New Roman"/>
          <w:iCs/>
          <w:sz w:val="24"/>
          <w:szCs w:val="24"/>
          <w:lang w:val="en-US"/>
        </w:rPr>
      </w:pPr>
    </w:p>
    <w:p w:rsidR="00A15260" w:rsidRPr="00A65305" w:rsidRDefault="00F95992" w:rsidP="00A65305">
      <w:pPr>
        <w:pStyle w:val="Cmsor2"/>
        <w:rPr>
          <w:rStyle w:val="Finomkiemels"/>
          <w:i w:val="0"/>
          <w:iCs w:val="0"/>
          <w:color w:val="243F60" w:themeColor="accent1" w:themeShade="7F"/>
          <w:lang w:val="en-US"/>
        </w:rPr>
      </w:pPr>
      <w:bookmarkStart w:id="1" w:name="_Toc490844991"/>
      <w:r>
        <w:rPr>
          <w:lang w:val="en-US"/>
        </w:rPr>
        <w:t xml:space="preserve">1.1 </w:t>
      </w:r>
      <w:r w:rsidR="003B256E" w:rsidRPr="004E0EA6">
        <w:rPr>
          <w:lang w:val="en-US"/>
        </w:rPr>
        <w:t>On Bias</w:t>
      </w:r>
      <w:bookmarkEnd w:id="1"/>
    </w:p>
    <w:p w:rsidR="00A65305" w:rsidRDefault="00A65305" w:rsidP="00FC5E75">
      <w:pPr>
        <w:jc w:val="both"/>
        <w:rPr>
          <w:rStyle w:val="Finomkiemels"/>
          <w:lang w:val="en-US"/>
        </w:rPr>
      </w:pPr>
    </w:p>
    <w:p w:rsidR="00FC5E75" w:rsidRPr="00FC5E75" w:rsidRDefault="00FC5E75" w:rsidP="00FC5E75">
      <w:pPr>
        <w:jc w:val="both"/>
        <w:rPr>
          <w:rFonts w:ascii="Times New Roman" w:hAnsi="Times New Roman" w:cs="Times New Roman"/>
          <w:iCs/>
          <w:sz w:val="24"/>
          <w:szCs w:val="24"/>
          <w:lang w:val="en-US"/>
        </w:rPr>
      </w:pPr>
      <w:r w:rsidRPr="00FC5E75">
        <w:rPr>
          <w:rStyle w:val="Finomkiemels"/>
          <w:lang w:val="en-US"/>
        </w:rPr>
        <w:t>‘A person who commits a ‘hate crime’ need not actually be motivated by hatred for his or her victim, but rather it is his or her expression of prejudice or bias against the victim’s (presumed) group membership that more properly characterizes such crimes’</w:t>
      </w:r>
      <w:r w:rsidR="00D231D8" w:rsidRPr="00D231D8">
        <w:rPr>
          <w:rStyle w:val="Lbjegyzet-hivatkozs"/>
          <w:rFonts w:ascii="Times New Roman" w:hAnsi="Times New Roman" w:cs="Times New Roman"/>
          <w:iCs/>
          <w:sz w:val="24"/>
          <w:szCs w:val="24"/>
          <w:lang w:val="en-US"/>
        </w:rPr>
        <w:footnoteReference w:id="4"/>
      </w:r>
    </w:p>
    <w:p w:rsidR="00FC5E75" w:rsidRPr="00242CDD" w:rsidRDefault="003B256E" w:rsidP="00242CDD">
      <w:pPr>
        <w:ind w:firstLine="360"/>
        <w:jc w:val="both"/>
        <w:rPr>
          <w:rFonts w:ascii="Times New Roman" w:hAnsi="Times New Roman" w:cs="Times New Roman"/>
          <w:b/>
          <w:bCs/>
          <w:i/>
          <w:iCs/>
          <w:sz w:val="24"/>
          <w:szCs w:val="24"/>
          <w:lang w:val="en-US"/>
        </w:rPr>
      </w:pPr>
      <w:r w:rsidRPr="004E0EA6">
        <w:rPr>
          <w:rFonts w:ascii="Times New Roman" w:hAnsi="Times New Roman" w:cs="Times New Roman"/>
          <w:iCs/>
          <w:sz w:val="24"/>
          <w:szCs w:val="24"/>
          <w:lang w:val="en-US"/>
        </w:rPr>
        <w:t>When considering bias, the first thing to note is that “bias” does not necessarily equate to the psychological state of “hate”. Thus terminologically employing the word “hate” to</w:t>
      </w:r>
      <w:r w:rsidR="007F429C" w:rsidRPr="004E0EA6">
        <w:rPr>
          <w:rFonts w:ascii="Times New Roman" w:hAnsi="Times New Roman" w:cs="Times New Roman"/>
          <w:iCs/>
          <w:sz w:val="24"/>
          <w:szCs w:val="24"/>
          <w:lang w:val="en-US"/>
        </w:rPr>
        <w:t xml:space="preserve"> designate “hate</w:t>
      </w:r>
      <w:r w:rsidRPr="004E0EA6">
        <w:rPr>
          <w:rFonts w:ascii="Times New Roman" w:hAnsi="Times New Roman" w:cs="Times New Roman"/>
          <w:iCs/>
          <w:sz w:val="24"/>
          <w:szCs w:val="24"/>
          <w:lang w:val="en-US"/>
        </w:rPr>
        <w:t xml:space="preserve"> crimes</w:t>
      </w:r>
      <w:r w:rsidR="007F429C" w:rsidRPr="004E0EA6">
        <w:rPr>
          <w:rFonts w:ascii="Times New Roman" w:hAnsi="Times New Roman" w:cs="Times New Roman"/>
          <w:iCs/>
          <w:sz w:val="24"/>
          <w:szCs w:val="24"/>
          <w:lang w:val="en-US"/>
        </w:rPr>
        <w:t>”</w:t>
      </w:r>
      <w:r w:rsidRPr="004E0EA6">
        <w:rPr>
          <w:rFonts w:ascii="Times New Roman" w:hAnsi="Times New Roman" w:cs="Times New Roman"/>
          <w:iCs/>
          <w:sz w:val="24"/>
          <w:szCs w:val="24"/>
          <w:lang w:val="en-US"/>
        </w:rPr>
        <w:t xml:space="preserve"> is to a degree misleading. In practice, “hate” is only </w:t>
      </w:r>
      <w:r w:rsidRPr="004E0EA6">
        <w:rPr>
          <w:rFonts w:ascii="Times New Roman" w:hAnsi="Times New Roman" w:cs="Times New Roman"/>
          <w:iCs/>
          <w:sz w:val="24"/>
          <w:szCs w:val="24"/>
          <w:lang w:val="en-US"/>
        </w:rPr>
        <w:lastRenderedPageBreak/>
        <w:t xml:space="preserve">one potential manifestation of bias, which when considered under the rubric of hate crimes legislation, prosecution and </w:t>
      </w:r>
      <w:r w:rsidR="00942220" w:rsidRPr="004E0EA6">
        <w:rPr>
          <w:rFonts w:ascii="Times New Roman" w:hAnsi="Times New Roman" w:cs="Times New Roman"/>
          <w:iCs/>
          <w:sz w:val="24"/>
          <w:szCs w:val="24"/>
          <w:lang w:val="en-US"/>
        </w:rPr>
        <w:t>investigation</w:t>
      </w:r>
      <w:r w:rsidR="004E0EA6">
        <w:rPr>
          <w:rFonts w:ascii="Times New Roman" w:hAnsi="Times New Roman" w:cs="Times New Roman"/>
          <w:iCs/>
          <w:sz w:val="24"/>
          <w:szCs w:val="24"/>
          <w:lang w:val="en-US"/>
        </w:rPr>
        <w:t>,</w:t>
      </w:r>
      <w:r w:rsidRPr="004E0EA6">
        <w:rPr>
          <w:rFonts w:ascii="Times New Roman" w:hAnsi="Times New Roman" w:cs="Times New Roman"/>
          <w:iCs/>
          <w:sz w:val="24"/>
          <w:szCs w:val="24"/>
          <w:lang w:val="en-US"/>
        </w:rPr>
        <w:t xml:space="preserve"> should be seen as an extreme manifestation of </w:t>
      </w:r>
      <w:r w:rsidRPr="004E0EA6">
        <w:rPr>
          <w:rFonts w:ascii="Times New Roman" w:hAnsi="Times New Roman" w:cs="Times New Roman"/>
          <w:i/>
          <w:iCs/>
          <w:sz w:val="24"/>
          <w:szCs w:val="24"/>
          <w:lang w:val="en-US"/>
        </w:rPr>
        <w:t>prejudice</w:t>
      </w:r>
      <w:r w:rsidRPr="004E0EA6">
        <w:rPr>
          <w:rFonts w:ascii="Times New Roman" w:hAnsi="Times New Roman" w:cs="Times New Roman"/>
          <w:iCs/>
          <w:sz w:val="24"/>
          <w:szCs w:val="24"/>
          <w:lang w:val="en-US"/>
        </w:rPr>
        <w:t xml:space="preserve"> towards whatthe victim </w:t>
      </w:r>
      <w:r w:rsidRPr="004E0EA6">
        <w:rPr>
          <w:rFonts w:ascii="Times New Roman" w:hAnsi="Times New Roman" w:cs="Times New Roman"/>
          <w:i/>
          <w:iCs/>
          <w:sz w:val="24"/>
          <w:szCs w:val="24"/>
          <w:lang w:val="en-US"/>
        </w:rPr>
        <w:t>represents</w:t>
      </w:r>
      <w:r w:rsidRPr="004E0EA6">
        <w:rPr>
          <w:rFonts w:ascii="Times New Roman" w:hAnsi="Times New Roman" w:cs="Times New Roman"/>
          <w:iCs/>
          <w:sz w:val="24"/>
          <w:szCs w:val="24"/>
          <w:lang w:val="en-US"/>
        </w:rPr>
        <w:t>, ra</w:t>
      </w:r>
      <w:r w:rsidR="00D40A31">
        <w:rPr>
          <w:rFonts w:ascii="Times New Roman" w:hAnsi="Times New Roman" w:cs="Times New Roman"/>
          <w:iCs/>
          <w:sz w:val="24"/>
          <w:szCs w:val="24"/>
          <w:lang w:val="en-US"/>
        </w:rPr>
        <w:t>ther than who they actually are</w:t>
      </w:r>
      <w:r w:rsidRPr="004E0EA6">
        <w:rPr>
          <w:rFonts w:ascii="Times New Roman" w:hAnsi="Times New Roman" w:cs="Times New Roman"/>
          <w:iCs/>
          <w:sz w:val="24"/>
          <w:szCs w:val="24"/>
          <w:lang w:val="en-US"/>
        </w:rPr>
        <w:t>.</w:t>
      </w:r>
      <w:r w:rsidR="00D40A31">
        <w:rPr>
          <w:rStyle w:val="Lbjegyzet-hivatkozs"/>
          <w:rFonts w:ascii="Times New Roman" w:hAnsi="Times New Roman" w:cs="Times New Roman"/>
          <w:iCs/>
          <w:sz w:val="24"/>
          <w:szCs w:val="24"/>
          <w:lang w:val="en-US"/>
        </w:rPr>
        <w:footnoteReference w:id="5"/>
      </w:r>
      <w:r w:rsidRPr="004521C7">
        <w:rPr>
          <w:rFonts w:ascii="Times New Roman" w:hAnsi="Times New Roman" w:cs="Times New Roman"/>
          <w:iCs/>
          <w:sz w:val="24"/>
          <w:szCs w:val="24"/>
          <w:lang w:val="en-US"/>
        </w:rPr>
        <w:t>Alternatives to “hate” could be the perpetrator’s having acted out of the desire to be approved by his/her peers</w:t>
      </w:r>
      <w:r w:rsidR="00A65305">
        <w:rPr>
          <w:rFonts w:ascii="Times New Roman" w:hAnsi="Times New Roman" w:cs="Times New Roman"/>
          <w:iCs/>
          <w:sz w:val="24"/>
          <w:szCs w:val="24"/>
          <w:lang w:val="en-US"/>
        </w:rPr>
        <w:t>, –w</w:t>
      </w:r>
      <w:r w:rsidR="00AE5593">
        <w:rPr>
          <w:rFonts w:ascii="Times New Roman" w:hAnsi="Times New Roman" w:cs="Times New Roman"/>
          <w:iCs/>
          <w:sz w:val="24"/>
          <w:szCs w:val="24"/>
          <w:lang w:val="en-US"/>
        </w:rPr>
        <w:t>hich could very well be the resu</w:t>
      </w:r>
      <w:r w:rsidR="00A65305">
        <w:rPr>
          <w:rFonts w:ascii="Times New Roman" w:hAnsi="Times New Roman" w:cs="Times New Roman"/>
          <w:iCs/>
          <w:sz w:val="24"/>
          <w:szCs w:val="24"/>
          <w:lang w:val="en-US"/>
        </w:rPr>
        <w:t>lt of a feeling of unworthiness–</w:t>
      </w:r>
      <w:r w:rsidRPr="004521C7">
        <w:rPr>
          <w:rFonts w:ascii="Times New Roman" w:hAnsi="Times New Roman" w:cs="Times New Roman"/>
          <w:iCs/>
          <w:sz w:val="24"/>
          <w:szCs w:val="24"/>
          <w:lang w:val="en-US"/>
        </w:rPr>
        <w:t xml:space="preserve"> out of hostility towards any individual and/or group of individuals that does not belong to the same one they do</w:t>
      </w:r>
      <w:r w:rsidR="00A65305">
        <w:rPr>
          <w:rFonts w:ascii="Times New Roman" w:hAnsi="Times New Roman" w:cs="Times New Roman"/>
          <w:iCs/>
          <w:sz w:val="24"/>
          <w:szCs w:val="24"/>
          <w:lang w:val="en-US"/>
        </w:rPr>
        <w:t>, –</w:t>
      </w:r>
      <w:r w:rsidR="00AE5593">
        <w:rPr>
          <w:rFonts w:ascii="Times New Roman" w:hAnsi="Times New Roman" w:cs="Times New Roman"/>
          <w:iCs/>
          <w:sz w:val="24"/>
          <w:szCs w:val="24"/>
          <w:lang w:val="en-US"/>
        </w:rPr>
        <w:t>which, especially when the perpetrator’s group is the dominant one, could emanate from a fear of losing this “prestigious” position (e.g.</w:t>
      </w:r>
      <w:r w:rsidR="00A65305">
        <w:rPr>
          <w:rFonts w:ascii="Times New Roman" w:hAnsi="Times New Roman" w:cs="Times New Roman"/>
          <w:iCs/>
          <w:sz w:val="24"/>
          <w:szCs w:val="24"/>
          <w:lang w:val="en-US"/>
        </w:rPr>
        <w:t xml:space="preserve"> from a minority-come-majority)–</w:t>
      </w:r>
      <w:r w:rsidRPr="004521C7">
        <w:rPr>
          <w:rFonts w:ascii="Times New Roman" w:hAnsi="Times New Roman" w:cs="Times New Roman"/>
          <w:iCs/>
          <w:sz w:val="24"/>
          <w:szCs w:val="24"/>
          <w:lang w:val="en-US"/>
        </w:rPr>
        <w:t xml:space="preserve"> or simply due to the target’s representing a value or idea towards which they are hostile.</w:t>
      </w:r>
      <w:r w:rsidRPr="004521C7">
        <w:rPr>
          <w:rFonts w:ascii="Times New Roman" w:hAnsi="Times New Roman" w:cs="Times New Roman"/>
          <w:iCs/>
          <w:sz w:val="24"/>
          <w:szCs w:val="24"/>
          <w:vertAlign w:val="superscript"/>
          <w:lang w:val="en-US"/>
        </w:rPr>
        <w:footnoteReference w:id="6"/>
      </w:r>
    </w:p>
    <w:p w:rsidR="00BE5ADE" w:rsidRDefault="007375D6" w:rsidP="008948A8">
      <w:pPr>
        <w:ind w:firstLine="720"/>
        <w:jc w:val="both"/>
        <w:rPr>
          <w:rFonts w:ascii="Times New Roman" w:hAnsi="Times New Roman" w:cs="Times New Roman"/>
          <w:iCs/>
          <w:sz w:val="24"/>
          <w:szCs w:val="24"/>
          <w:lang w:val="en-US"/>
        </w:rPr>
      </w:pPr>
      <w:r w:rsidRPr="004521C7">
        <w:rPr>
          <w:rFonts w:ascii="Times New Roman" w:hAnsi="Times New Roman" w:cs="Times New Roman"/>
          <w:iCs/>
          <w:sz w:val="24"/>
          <w:szCs w:val="24"/>
          <w:lang w:val="en-US"/>
        </w:rPr>
        <w:t>A characteristic example</w:t>
      </w:r>
      <w:r w:rsidR="00AE5593">
        <w:rPr>
          <w:rFonts w:ascii="Times New Roman" w:hAnsi="Times New Roman" w:cs="Times New Roman"/>
          <w:iCs/>
          <w:sz w:val="24"/>
          <w:szCs w:val="24"/>
          <w:lang w:val="en-US"/>
        </w:rPr>
        <w:t xml:space="preserve">of the latter </w:t>
      </w:r>
      <w:r w:rsidRPr="004521C7">
        <w:rPr>
          <w:rFonts w:ascii="Times New Roman" w:hAnsi="Times New Roman" w:cs="Times New Roman"/>
          <w:iCs/>
          <w:sz w:val="24"/>
          <w:szCs w:val="24"/>
          <w:lang w:val="en-US"/>
        </w:rPr>
        <w:t>is that of Islam</w:t>
      </w:r>
      <w:r w:rsidR="00AB0486">
        <w:rPr>
          <w:rFonts w:ascii="Times New Roman" w:hAnsi="Times New Roman" w:cs="Times New Roman"/>
          <w:iCs/>
          <w:sz w:val="24"/>
          <w:szCs w:val="24"/>
          <w:lang w:val="en-US"/>
        </w:rPr>
        <w:t xml:space="preserve">. </w:t>
      </w:r>
      <w:r w:rsidR="00AB0486" w:rsidRPr="00AB0486">
        <w:rPr>
          <w:rFonts w:ascii="Times New Roman" w:hAnsi="Times New Roman" w:cs="Times New Roman"/>
          <w:iCs/>
          <w:sz w:val="24"/>
          <w:szCs w:val="24"/>
          <w:lang w:val="en-GB"/>
        </w:rPr>
        <w:t>W</w:t>
      </w:r>
      <w:r w:rsidR="00AB0486">
        <w:rPr>
          <w:rFonts w:ascii="Times New Roman" w:hAnsi="Times New Roman" w:cs="Times New Roman"/>
          <w:iCs/>
          <w:sz w:val="24"/>
          <w:szCs w:val="24"/>
          <w:lang w:val="en-GB"/>
        </w:rPr>
        <w:t>ith the post-</w:t>
      </w:r>
      <w:r w:rsidR="00084168" w:rsidRPr="004521C7">
        <w:rPr>
          <w:rFonts w:ascii="Times New Roman" w:hAnsi="Times New Roman" w:cs="Times New Roman"/>
          <w:iCs/>
          <w:sz w:val="24"/>
          <w:szCs w:val="24"/>
          <w:lang w:val="en-US"/>
        </w:rPr>
        <w:t>9/11</w:t>
      </w:r>
      <w:r w:rsidR="00AB0486">
        <w:rPr>
          <w:rFonts w:ascii="Times New Roman" w:hAnsi="Times New Roman" w:cs="Times New Roman"/>
          <w:iCs/>
          <w:sz w:val="24"/>
          <w:szCs w:val="24"/>
          <w:lang w:val="en-US"/>
        </w:rPr>
        <w:t xml:space="preserve"> “war on terror” and the rise of extremist groups, such as ISIS,Islam </w:t>
      </w:r>
      <w:r w:rsidR="00465F73" w:rsidRPr="004521C7">
        <w:rPr>
          <w:rFonts w:ascii="Times New Roman" w:hAnsi="Times New Roman" w:cs="Times New Roman"/>
          <w:iCs/>
          <w:sz w:val="24"/>
          <w:szCs w:val="24"/>
          <w:lang w:val="en-US"/>
        </w:rPr>
        <w:t>has tended to be perceived</w:t>
      </w:r>
      <w:r w:rsidR="00B173A9" w:rsidRPr="004521C7">
        <w:rPr>
          <w:rFonts w:ascii="Times New Roman" w:hAnsi="Times New Roman" w:cs="Times New Roman"/>
          <w:iCs/>
          <w:sz w:val="24"/>
          <w:szCs w:val="24"/>
          <w:lang w:val="en-US"/>
        </w:rPr>
        <w:t xml:space="preserve"> (by some)</w:t>
      </w:r>
      <w:r w:rsidR="00465F73" w:rsidRPr="004521C7">
        <w:rPr>
          <w:rFonts w:ascii="Times New Roman" w:hAnsi="Times New Roman" w:cs="Times New Roman"/>
          <w:iCs/>
          <w:sz w:val="24"/>
          <w:szCs w:val="24"/>
          <w:lang w:val="en-US"/>
        </w:rPr>
        <w:t xml:space="preserve"> as intrinsically linked</w:t>
      </w:r>
      <w:r w:rsidR="00AB0486">
        <w:rPr>
          <w:rFonts w:ascii="Times New Roman" w:hAnsi="Times New Roman" w:cs="Times New Roman"/>
          <w:iCs/>
          <w:sz w:val="24"/>
          <w:szCs w:val="24"/>
          <w:lang w:val="en-US"/>
        </w:rPr>
        <w:t xml:space="preserve"> –or even the very root– of</w:t>
      </w:r>
      <w:r w:rsidR="00465F73" w:rsidRPr="004521C7">
        <w:rPr>
          <w:rFonts w:ascii="Times New Roman" w:hAnsi="Times New Roman" w:cs="Times New Roman"/>
          <w:iCs/>
          <w:sz w:val="24"/>
          <w:szCs w:val="24"/>
          <w:lang w:val="en-US"/>
        </w:rPr>
        <w:t xml:space="preserve"> contemporary </w:t>
      </w:r>
      <w:r w:rsidR="00084168" w:rsidRPr="004521C7">
        <w:rPr>
          <w:rFonts w:ascii="Times New Roman" w:hAnsi="Times New Roman" w:cs="Times New Roman"/>
          <w:iCs/>
          <w:sz w:val="24"/>
          <w:szCs w:val="24"/>
          <w:lang w:val="en-US"/>
        </w:rPr>
        <w:t xml:space="preserve">acts of </w:t>
      </w:r>
      <w:r w:rsidR="00465F73" w:rsidRPr="004521C7">
        <w:rPr>
          <w:rFonts w:ascii="Times New Roman" w:hAnsi="Times New Roman" w:cs="Times New Roman"/>
          <w:iCs/>
          <w:sz w:val="24"/>
          <w:szCs w:val="24"/>
          <w:lang w:val="en-US"/>
        </w:rPr>
        <w:t>terrorism.</w:t>
      </w:r>
      <w:r w:rsidR="00B173A9" w:rsidRPr="004521C7">
        <w:rPr>
          <w:rFonts w:ascii="Times New Roman" w:hAnsi="Times New Roman" w:cs="Times New Roman"/>
          <w:iCs/>
          <w:sz w:val="24"/>
          <w:szCs w:val="24"/>
          <w:lang w:val="en-US"/>
        </w:rPr>
        <w:t>The implication</w:t>
      </w:r>
      <w:r w:rsidR="002403B1">
        <w:rPr>
          <w:rFonts w:ascii="Times New Roman" w:hAnsi="Times New Roman" w:cs="Times New Roman"/>
          <w:iCs/>
          <w:sz w:val="24"/>
          <w:szCs w:val="24"/>
          <w:lang w:val="en-US"/>
        </w:rPr>
        <w:t xml:space="preserve">, amongst others, has been </w:t>
      </w:r>
      <w:r w:rsidR="00B173A9" w:rsidRPr="004521C7">
        <w:rPr>
          <w:rFonts w:ascii="Times New Roman" w:hAnsi="Times New Roman" w:cs="Times New Roman"/>
          <w:iCs/>
          <w:sz w:val="24"/>
          <w:szCs w:val="24"/>
          <w:lang w:val="en-US"/>
        </w:rPr>
        <w:t>the dem</w:t>
      </w:r>
      <w:r w:rsidR="002403B1">
        <w:rPr>
          <w:rFonts w:ascii="Times New Roman" w:hAnsi="Times New Roman" w:cs="Times New Roman"/>
          <w:iCs/>
          <w:sz w:val="24"/>
          <w:szCs w:val="24"/>
          <w:lang w:val="en-US"/>
        </w:rPr>
        <w:t>onization (again, by some) of a religious</w:t>
      </w:r>
      <w:r w:rsidR="00B173A9" w:rsidRPr="004521C7">
        <w:rPr>
          <w:rFonts w:ascii="Times New Roman" w:hAnsi="Times New Roman" w:cs="Times New Roman"/>
          <w:iCs/>
          <w:sz w:val="24"/>
          <w:szCs w:val="24"/>
          <w:lang w:val="en-US"/>
        </w:rPr>
        <w:t xml:space="preserve"> idea-belief</w:t>
      </w:r>
      <w:r w:rsidR="002403B1">
        <w:rPr>
          <w:rFonts w:ascii="Times New Roman" w:hAnsi="Times New Roman" w:cs="Times New Roman"/>
          <w:iCs/>
          <w:sz w:val="24"/>
          <w:szCs w:val="24"/>
          <w:lang w:val="en-US"/>
        </w:rPr>
        <w:t xml:space="preserve">,in its totality, which by far transcends the rational choice of condemning the </w:t>
      </w:r>
      <w:r w:rsidR="00B173A9" w:rsidRPr="004521C7">
        <w:rPr>
          <w:rFonts w:ascii="Times New Roman" w:hAnsi="Times New Roman" w:cs="Times New Roman"/>
          <w:iCs/>
          <w:sz w:val="24"/>
          <w:szCs w:val="24"/>
          <w:lang w:val="en-US"/>
        </w:rPr>
        <w:t>violent act</w:t>
      </w:r>
      <w:r w:rsidR="002403B1">
        <w:rPr>
          <w:rFonts w:ascii="Times New Roman" w:hAnsi="Times New Roman" w:cs="Times New Roman"/>
          <w:iCs/>
          <w:sz w:val="24"/>
          <w:szCs w:val="24"/>
          <w:lang w:val="en-US"/>
        </w:rPr>
        <w:t xml:space="preserve">s, themselves, as </w:t>
      </w:r>
      <w:r w:rsidR="00B173A9" w:rsidRPr="004521C7">
        <w:rPr>
          <w:rFonts w:ascii="Times New Roman" w:hAnsi="Times New Roman" w:cs="Times New Roman"/>
          <w:iCs/>
          <w:sz w:val="24"/>
          <w:szCs w:val="24"/>
          <w:lang w:val="en-US"/>
        </w:rPr>
        <w:t>pe</w:t>
      </w:r>
      <w:r w:rsidR="002403B1">
        <w:rPr>
          <w:rFonts w:ascii="Times New Roman" w:hAnsi="Times New Roman" w:cs="Times New Roman"/>
          <w:iCs/>
          <w:sz w:val="24"/>
          <w:szCs w:val="24"/>
          <w:lang w:val="en-US"/>
        </w:rPr>
        <w:t>rpetrated by radical extremists. In turn, this unsubstan</w:t>
      </w:r>
      <w:r w:rsidR="00E0712A">
        <w:rPr>
          <w:rFonts w:ascii="Times New Roman" w:hAnsi="Times New Roman" w:cs="Times New Roman"/>
          <w:iCs/>
          <w:sz w:val="24"/>
          <w:szCs w:val="24"/>
          <w:lang w:val="en-US"/>
        </w:rPr>
        <w:t>tiated overgeneralization (i.e. the belief that to be Muslim means to be a potential terrorist</w:t>
      </w:r>
      <w:r w:rsidR="002403B1">
        <w:rPr>
          <w:rFonts w:ascii="Times New Roman" w:hAnsi="Times New Roman" w:cs="Times New Roman"/>
          <w:iCs/>
          <w:sz w:val="24"/>
          <w:szCs w:val="24"/>
          <w:lang w:val="en-US"/>
        </w:rPr>
        <w:t>), which has led to the spread of enmity and prejudice against p</w:t>
      </w:r>
      <w:r w:rsidR="00BE5ADE">
        <w:rPr>
          <w:rFonts w:ascii="Times New Roman" w:hAnsi="Times New Roman" w:cs="Times New Roman"/>
          <w:iCs/>
          <w:sz w:val="24"/>
          <w:szCs w:val="24"/>
          <w:lang w:val="en-US"/>
        </w:rPr>
        <w:t>ersons of Islamic belief by</w:t>
      </w:r>
      <w:r w:rsidR="002403B1">
        <w:rPr>
          <w:rFonts w:ascii="Times New Roman" w:hAnsi="Times New Roman" w:cs="Times New Roman"/>
          <w:iCs/>
          <w:sz w:val="24"/>
          <w:szCs w:val="24"/>
          <w:lang w:val="en-US"/>
        </w:rPr>
        <w:t xml:space="preserve"> segments of the western populations, has led to the seeming creation of pattern, whereby following each act of terrorism </w:t>
      </w:r>
      <w:r w:rsidR="00BE5ADE">
        <w:rPr>
          <w:rFonts w:ascii="Times New Roman" w:hAnsi="Times New Roman" w:cs="Times New Roman"/>
          <w:iCs/>
          <w:sz w:val="24"/>
          <w:szCs w:val="24"/>
          <w:lang w:val="en-US"/>
        </w:rPr>
        <w:t xml:space="preserve">in the western world, </w:t>
      </w:r>
      <w:r w:rsidR="002403B1">
        <w:rPr>
          <w:rFonts w:ascii="Times New Roman" w:hAnsi="Times New Roman" w:cs="Times New Roman"/>
          <w:iCs/>
          <w:sz w:val="24"/>
          <w:szCs w:val="24"/>
          <w:lang w:val="en-US"/>
        </w:rPr>
        <w:t>a subsequent “response</w:t>
      </w:r>
      <w:r w:rsidR="00FA3173">
        <w:rPr>
          <w:rFonts w:ascii="Times New Roman" w:hAnsi="Times New Roman" w:cs="Times New Roman"/>
          <w:iCs/>
          <w:sz w:val="24"/>
          <w:szCs w:val="24"/>
          <w:lang w:val="en-US"/>
        </w:rPr>
        <w:t>”,</w:t>
      </w:r>
      <w:r w:rsidR="002403B1">
        <w:rPr>
          <w:rFonts w:ascii="Times New Roman" w:hAnsi="Times New Roman" w:cs="Times New Roman"/>
          <w:iCs/>
          <w:sz w:val="24"/>
          <w:szCs w:val="24"/>
          <w:lang w:val="en-US"/>
        </w:rPr>
        <w:t xml:space="preserve"> in the form of increased hate crimes against Muslims</w:t>
      </w:r>
      <w:r w:rsidR="00BE5ADE">
        <w:rPr>
          <w:rFonts w:ascii="Times New Roman" w:hAnsi="Times New Roman" w:cs="Times New Roman"/>
          <w:iCs/>
          <w:sz w:val="24"/>
          <w:szCs w:val="24"/>
          <w:lang w:val="en-US"/>
        </w:rPr>
        <w:t>,</w:t>
      </w:r>
      <w:r w:rsidR="002403B1">
        <w:rPr>
          <w:rFonts w:ascii="Times New Roman" w:hAnsi="Times New Roman" w:cs="Times New Roman"/>
          <w:iCs/>
          <w:sz w:val="24"/>
          <w:szCs w:val="24"/>
          <w:lang w:val="en-US"/>
        </w:rPr>
        <w:t xml:space="preserve"> has been observed.</w:t>
      </w:r>
      <w:r w:rsidR="00D40A31">
        <w:rPr>
          <w:rStyle w:val="Lbjegyzet-hivatkozs"/>
          <w:rFonts w:ascii="Times New Roman" w:hAnsi="Times New Roman" w:cs="Times New Roman"/>
          <w:iCs/>
          <w:sz w:val="24"/>
          <w:szCs w:val="24"/>
          <w:lang w:val="en-US"/>
        </w:rPr>
        <w:footnoteReference w:id="7"/>
      </w:r>
      <w:r w:rsidR="008948A8">
        <w:rPr>
          <w:rFonts w:ascii="Times New Roman" w:hAnsi="Times New Roman" w:cs="Times New Roman"/>
          <w:iCs/>
          <w:sz w:val="24"/>
          <w:szCs w:val="24"/>
          <w:lang w:val="en-US"/>
        </w:rPr>
        <w:t>In a per</w:t>
      </w:r>
      <w:r w:rsidR="00E0712A">
        <w:rPr>
          <w:rFonts w:ascii="Times New Roman" w:hAnsi="Times New Roman" w:cs="Times New Roman"/>
          <w:iCs/>
          <w:sz w:val="24"/>
          <w:szCs w:val="24"/>
          <w:lang w:val="en-US"/>
        </w:rPr>
        <w:t>verted way</w:t>
      </w:r>
      <w:r w:rsidR="008948A8">
        <w:rPr>
          <w:rFonts w:ascii="Times New Roman" w:hAnsi="Times New Roman" w:cs="Times New Roman"/>
          <w:iCs/>
          <w:sz w:val="24"/>
          <w:szCs w:val="24"/>
          <w:lang w:val="en-US"/>
        </w:rPr>
        <w:t xml:space="preserve"> this highlights the existence of a link between </w:t>
      </w:r>
      <w:r w:rsidR="00B173A9" w:rsidRPr="004521C7">
        <w:rPr>
          <w:rFonts w:ascii="Times New Roman" w:hAnsi="Times New Roman" w:cs="Times New Roman"/>
          <w:iCs/>
          <w:sz w:val="24"/>
          <w:szCs w:val="24"/>
          <w:lang w:val="en-US"/>
        </w:rPr>
        <w:t xml:space="preserve">the sentimental state of </w:t>
      </w:r>
      <w:r w:rsidR="008948A8">
        <w:rPr>
          <w:rFonts w:ascii="Times New Roman" w:hAnsi="Times New Roman" w:cs="Times New Roman"/>
          <w:iCs/>
          <w:sz w:val="24"/>
          <w:szCs w:val="24"/>
          <w:lang w:val="en-US"/>
        </w:rPr>
        <w:t xml:space="preserve">hate or </w:t>
      </w:r>
      <w:r w:rsidR="00B173A9" w:rsidRPr="004521C7">
        <w:rPr>
          <w:rFonts w:ascii="Times New Roman" w:hAnsi="Times New Roman" w:cs="Times New Roman"/>
          <w:iCs/>
          <w:sz w:val="24"/>
          <w:szCs w:val="24"/>
          <w:lang w:val="en-US"/>
        </w:rPr>
        <w:t>hostility</w:t>
      </w:r>
      <w:r w:rsidR="008948A8">
        <w:rPr>
          <w:rFonts w:ascii="Times New Roman" w:hAnsi="Times New Roman" w:cs="Times New Roman"/>
          <w:iCs/>
          <w:sz w:val="24"/>
          <w:szCs w:val="24"/>
          <w:lang w:val="en-US"/>
        </w:rPr>
        <w:t xml:space="preserve"> towards an idea (in this case, religious)</w:t>
      </w:r>
      <w:r w:rsidR="00E0712A">
        <w:rPr>
          <w:rFonts w:ascii="Times New Roman" w:hAnsi="Times New Roman" w:cs="Times New Roman"/>
          <w:iCs/>
          <w:sz w:val="24"/>
          <w:szCs w:val="24"/>
          <w:lang w:val="en-US"/>
        </w:rPr>
        <w:t>,</w:t>
      </w:r>
      <w:r w:rsidR="008948A8">
        <w:rPr>
          <w:rFonts w:ascii="Times New Roman" w:hAnsi="Times New Roman" w:cs="Times New Roman"/>
          <w:iCs/>
          <w:sz w:val="24"/>
          <w:szCs w:val="24"/>
          <w:lang w:val="en-US"/>
        </w:rPr>
        <w:t xml:space="preserve"> and a misbegotten sense of retribution (e.g. in the names of those killed during </w:t>
      </w:r>
      <w:r w:rsidR="00B173A9" w:rsidRPr="004521C7">
        <w:rPr>
          <w:rFonts w:ascii="Times New Roman" w:hAnsi="Times New Roman" w:cs="Times New Roman"/>
          <w:iCs/>
          <w:sz w:val="24"/>
          <w:szCs w:val="24"/>
          <w:lang w:val="en-US"/>
        </w:rPr>
        <w:t>terrorist attacks)</w:t>
      </w:r>
      <w:r w:rsidR="008948A8">
        <w:rPr>
          <w:rFonts w:ascii="Times New Roman" w:hAnsi="Times New Roman" w:cs="Times New Roman"/>
          <w:iCs/>
          <w:sz w:val="24"/>
          <w:szCs w:val="24"/>
          <w:lang w:val="en-US"/>
        </w:rPr>
        <w:t>, whereby the perpetrator may very well be prim</w:t>
      </w:r>
      <w:r w:rsidR="00217967">
        <w:rPr>
          <w:rFonts w:ascii="Times New Roman" w:hAnsi="Times New Roman" w:cs="Times New Roman"/>
          <w:iCs/>
          <w:sz w:val="24"/>
          <w:szCs w:val="24"/>
          <w:lang w:val="en-US"/>
        </w:rPr>
        <w:t xml:space="preserve">arily motivated by a </w:t>
      </w:r>
      <w:r w:rsidR="008948A8">
        <w:rPr>
          <w:rFonts w:ascii="Times New Roman" w:hAnsi="Times New Roman" w:cs="Times New Roman"/>
          <w:iCs/>
          <w:sz w:val="24"/>
          <w:szCs w:val="24"/>
          <w:lang w:val="en-US"/>
        </w:rPr>
        <w:t>belief that he/she undertakes the role of his/her</w:t>
      </w:r>
      <w:r w:rsidR="00E0712A">
        <w:rPr>
          <w:rFonts w:ascii="Times New Roman" w:hAnsi="Times New Roman" w:cs="Times New Roman"/>
          <w:iCs/>
          <w:sz w:val="24"/>
          <w:szCs w:val="24"/>
          <w:lang w:val="en-US"/>
        </w:rPr>
        <w:t xml:space="preserve"> society’s vigilante-protector. This sort of “vigilantism”, of course, is not limited to the field of anti-Islamic hatred, as can be easily attested by the following example:</w:t>
      </w:r>
    </w:p>
    <w:p w:rsidR="005878B9" w:rsidRDefault="005878B9" w:rsidP="008948A8">
      <w:pPr>
        <w:ind w:firstLine="720"/>
        <w:jc w:val="both"/>
        <w:rPr>
          <w:rFonts w:ascii="Times New Roman" w:hAnsi="Times New Roman" w:cs="Times New Roman"/>
          <w:iCs/>
          <w:sz w:val="24"/>
          <w:szCs w:val="24"/>
          <w:lang w:val="en-US"/>
        </w:rPr>
      </w:pPr>
    </w:p>
    <w:tbl>
      <w:tblPr>
        <w:tblStyle w:val="MediumGrid1-Accent51"/>
        <w:tblW w:w="0" w:type="auto"/>
        <w:tblLook w:val="04A0"/>
      </w:tblPr>
      <w:tblGrid>
        <w:gridCol w:w="8440"/>
      </w:tblGrid>
      <w:tr w:rsidR="00C11153" w:rsidRPr="00595388" w:rsidTr="00C11153">
        <w:trPr>
          <w:cnfStyle w:val="100000000000"/>
        </w:trPr>
        <w:tc>
          <w:tcPr>
            <w:cnfStyle w:val="001000000000"/>
            <w:tcW w:w="8440" w:type="dxa"/>
          </w:tcPr>
          <w:p w:rsidR="00C11153" w:rsidRPr="00156CE2" w:rsidRDefault="00C11153" w:rsidP="00156CE2">
            <w:pPr>
              <w:jc w:val="both"/>
              <w:rPr>
                <w:rFonts w:ascii="Verdana" w:eastAsia="MS Mincho" w:hAnsi="Verdana" w:cs="Times New Roman"/>
                <w:b w:val="0"/>
                <w:color w:val="943634"/>
                <w:sz w:val="19"/>
                <w:szCs w:val="19"/>
              </w:rPr>
            </w:pPr>
            <w:r w:rsidRPr="00156CE2">
              <w:rPr>
                <w:rFonts w:ascii="Verdana" w:eastAsia="MS Mincho" w:hAnsi="Verdana" w:cs="Times New Roman"/>
                <w:b w:val="0"/>
                <w:color w:val="943634"/>
                <w:sz w:val="19"/>
                <w:szCs w:val="19"/>
              </w:rPr>
              <w:t xml:space="preserve">European Court of Human Rights, </w:t>
            </w:r>
            <w:r w:rsidRPr="00156CE2">
              <w:rPr>
                <w:rFonts w:ascii="Verdana" w:eastAsia="MS Mincho" w:hAnsi="Verdana" w:cs="Times New Roman"/>
                <w:b w:val="0"/>
                <w:iCs/>
                <w:color w:val="943634"/>
                <w:sz w:val="19"/>
                <w:szCs w:val="19"/>
              </w:rPr>
              <w:t>Király and Dömötör v. Hungary</w:t>
            </w:r>
            <w:r w:rsidRPr="00156CE2">
              <w:rPr>
                <w:rFonts w:ascii="Verdana" w:eastAsia="MS Mincho" w:hAnsi="Verdana" w:cs="Times New Roman"/>
                <w:b w:val="0"/>
                <w:color w:val="943634"/>
                <w:sz w:val="19"/>
                <w:szCs w:val="19"/>
              </w:rPr>
              <w:t xml:space="preserve">, Application no. </w:t>
            </w:r>
            <w:r w:rsidRPr="00156CE2">
              <w:rPr>
                <w:rFonts w:ascii="Verdana" w:eastAsia="MS Mincho" w:hAnsi="Verdana" w:cs="Times New Roman"/>
                <w:b w:val="0"/>
                <w:i/>
                <w:iCs/>
                <w:color w:val="943634"/>
                <w:sz w:val="19"/>
                <w:szCs w:val="19"/>
              </w:rPr>
              <w:t>63409/11</w:t>
            </w:r>
            <w:r w:rsidRPr="00156CE2">
              <w:rPr>
                <w:rFonts w:ascii="Verdana" w:eastAsia="MS Mincho" w:hAnsi="Verdana" w:cs="Times New Roman"/>
                <w:b w:val="0"/>
                <w:iCs/>
                <w:color w:val="943634"/>
                <w:sz w:val="19"/>
                <w:szCs w:val="19"/>
              </w:rPr>
              <w:t xml:space="preserve">, Judgment of 17 January 2017 </w:t>
            </w:r>
            <w:hyperlink r:id="rId9" w:history="1">
              <w:r w:rsidRPr="00156CE2">
                <w:rPr>
                  <w:rStyle w:val="Hiperhivatkozs"/>
                  <w:rFonts w:ascii="Verdana" w:eastAsia="MS Mincho" w:hAnsi="Verdana" w:cs="Times New Roman"/>
                  <w:b w:val="0"/>
                  <w:iCs/>
                  <w:sz w:val="19"/>
                  <w:szCs w:val="19"/>
                </w:rPr>
                <w:t>link</w:t>
              </w:r>
            </w:hyperlink>
          </w:p>
          <w:p w:rsidR="00C11153" w:rsidRPr="00156CE2" w:rsidRDefault="00C11153" w:rsidP="00156CE2">
            <w:pPr>
              <w:contextualSpacing/>
              <w:jc w:val="both"/>
              <w:rPr>
                <w:rFonts w:ascii="Verdana" w:eastAsia="MS Mincho" w:hAnsi="Verdana" w:cs="Times New Roman"/>
                <w:b w:val="0"/>
                <w:sz w:val="18"/>
                <w:szCs w:val="18"/>
                <w:u w:val="single"/>
              </w:rPr>
            </w:pPr>
          </w:p>
          <w:p w:rsidR="008477FC" w:rsidRDefault="00C11153" w:rsidP="00564C19">
            <w:pPr>
              <w:contextualSpacing/>
              <w:jc w:val="both"/>
              <w:rPr>
                <w:rFonts w:ascii="Verdana" w:eastAsia="MS Mincho" w:hAnsi="Verdana" w:cs="Times New Roman"/>
                <w:b w:val="0"/>
                <w:sz w:val="18"/>
                <w:szCs w:val="18"/>
                <w:lang w:val="en-GB"/>
              </w:rPr>
            </w:pPr>
            <w:r w:rsidRPr="005A2D6B">
              <w:rPr>
                <w:rFonts w:ascii="Verdana" w:eastAsia="MS Mincho" w:hAnsi="Verdana" w:cs="Times New Roman"/>
                <w:sz w:val="18"/>
                <w:szCs w:val="18"/>
                <w:u w:val="single"/>
              </w:rPr>
              <w:t>Facts</w:t>
            </w:r>
            <w:r w:rsidRPr="005A2D6B">
              <w:rPr>
                <w:rFonts w:ascii="Verdana" w:eastAsia="MS Mincho" w:hAnsi="Verdana" w:cs="Times New Roman"/>
                <w:sz w:val="18"/>
                <w:szCs w:val="18"/>
              </w:rPr>
              <w:t xml:space="preserve">: </w:t>
            </w:r>
            <w:r w:rsidRPr="00156CE2">
              <w:rPr>
                <w:rFonts w:ascii="Verdana" w:eastAsia="MS Mincho" w:hAnsi="Verdana" w:cs="Times New Roman"/>
                <w:b w:val="0"/>
                <w:sz w:val="18"/>
                <w:szCs w:val="18"/>
              </w:rPr>
              <w:t>The case concerned two Hungarian nationals, of Roma origin, who claimed that the police had failed to protect them from racist abuse during an anti-Roma demonstration and to properly investigate the incident.</w:t>
            </w:r>
            <w:r w:rsidR="008477FC" w:rsidRPr="008477FC">
              <w:rPr>
                <w:rFonts w:ascii="Verdana" w:eastAsia="MS Mincho" w:hAnsi="Verdana" w:cs="Times New Roman"/>
                <w:b w:val="0"/>
                <w:sz w:val="18"/>
                <w:szCs w:val="18"/>
                <w:lang w:val="en-GB"/>
              </w:rPr>
              <w:t>The de</w:t>
            </w:r>
            <w:r w:rsidR="008477FC">
              <w:rPr>
                <w:rFonts w:ascii="Verdana" w:eastAsia="MS Mincho" w:hAnsi="Verdana" w:cs="Times New Roman"/>
                <w:b w:val="0"/>
                <w:sz w:val="18"/>
                <w:szCs w:val="18"/>
                <w:lang w:val="en-GB"/>
              </w:rPr>
              <w:t>monstration had been</w:t>
            </w:r>
            <w:r w:rsidR="008477FC" w:rsidRPr="008477FC">
              <w:rPr>
                <w:rFonts w:ascii="Verdana" w:eastAsia="MS Mincho" w:hAnsi="Verdana" w:cs="Times New Roman"/>
                <w:b w:val="0"/>
                <w:sz w:val="18"/>
                <w:szCs w:val="18"/>
                <w:lang w:val="en-GB"/>
              </w:rPr>
              <w:t xml:space="preserve"> attended by nine far-right groups, known for their militant behaviour and anti-Roma stance</w:t>
            </w:r>
            <w:r w:rsidR="008477FC">
              <w:rPr>
                <w:rFonts w:ascii="Verdana" w:eastAsia="MS Mincho" w:hAnsi="Verdana" w:cs="Times New Roman"/>
                <w:b w:val="0"/>
                <w:sz w:val="18"/>
                <w:szCs w:val="18"/>
                <w:lang w:val="en-GB"/>
              </w:rPr>
              <w:t>, which should have raised the police’s awareness that the potential for violence was high. Furthermore, during the demonstration, the main speaker had ‘</w:t>
            </w:r>
            <w:r w:rsidR="008477FC" w:rsidRPr="008477FC">
              <w:rPr>
                <w:rFonts w:ascii="Verdana" w:eastAsia="MS Mincho" w:hAnsi="Verdana" w:cs="Times New Roman"/>
                <w:i/>
                <w:sz w:val="18"/>
                <w:szCs w:val="18"/>
                <w:lang w:val="en-GB"/>
              </w:rPr>
              <w:t>called on the demonstrators to sweep out the “rubbish” from the country, to revolt and to chase out the treasonous criminal group supressing Hungarians</w:t>
            </w:r>
            <w:r w:rsidR="008477FC" w:rsidRPr="008477FC">
              <w:rPr>
                <w:rFonts w:ascii="Verdana" w:eastAsia="MS Mincho" w:hAnsi="Verdana" w:cs="Times New Roman"/>
                <w:b w:val="0"/>
                <w:i/>
                <w:sz w:val="18"/>
                <w:szCs w:val="18"/>
                <w:lang w:val="en-GB"/>
              </w:rPr>
              <w:t xml:space="preserve">. </w:t>
            </w:r>
            <w:r w:rsidR="008477FC" w:rsidRPr="00F52580">
              <w:rPr>
                <w:rFonts w:ascii="Verdana" w:eastAsia="MS Mincho" w:hAnsi="Verdana" w:cs="Times New Roman"/>
                <w:b w:val="0"/>
                <w:sz w:val="18"/>
                <w:szCs w:val="18"/>
                <w:lang w:val="en-GB"/>
              </w:rPr>
              <w:t xml:space="preserve">He closed his speech by saying </w:t>
            </w:r>
            <w:r w:rsidR="008477FC" w:rsidRPr="00F52580">
              <w:rPr>
                <w:rFonts w:ascii="Verdana" w:eastAsia="MS Mincho" w:hAnsi="Verdana" w:cs="Times New Roman"/>
                <w:b w:val="0"/>
                <w:sz w:val="18"/>
                <w:szCs w:val="18"/>
                <w:lang w:val="en-GB"/>
              </w:rPr>
              <w:lastRenderedPageBreak/>
              <w:t xml:space="preserve">that </w:t>
            </w:r>
            <w:r w:rsidR="00F52580">
              <w:rPr>
                <w:rFonts w:ascii="Verdana" w:eastAsia="MS Mincho" w:hAnsi="Verdana" w:cs="Times New Roman"/>
                <w:b w:val="0"/>
                <w:i/>
                <w:sz w:val="18"/>
                <w:szCs w:val="18"/>
                <w:lang w:val="en-GB"/>
              </w:rPr>
              <w:t>‘</w:t>
            </w:r>
            <w:r w:rsidR="008477FC" w:rsidRPr="00F52580">
              <w:rPr>
                <w:rFonts w:ascii="Verdana" w:eastAsia="MS Mincho" w:hAnsi="Verdana" w:cs="Times New Roman"/>
                <w:i/>
                <w:sz w:val="18"/>
                <w:szCs w:val="18"/>
                <w:lang w:val="en-GB"/>
              </w:rPr>
              <w:t>the Hungarians were entitled to use all means to achieve those goals…mention[ing] that the Roma minority was genetically encoded to behave in a criminal way and declar</w:t>
            </w:r>
            <w:r w:rsidR="00564C19">
              <w:rPr>
                <w:rFonts w:ascii="Verdana" w:eastAsia="MS Mincho" w:hAnsi="Verdana" w:cs="Times New Roman"/>
                <w:i/>
                <w:sz w:val="18"/>
                <w:szCs w:val="18"/>
                <w:lang w:val="en-GB"/>
              </w:rPr>
              <w:t>ing</w:t>
            </w:r>
            <w:r w:rsidR="008477FC" w:rsidRPr="00F52580">
              <w:rPr>
                <w:rFonts w:ascii="Verdana" w:eastAsia="MS Mincho" w:hAnsi="Verdana" w:cs="Times New Roman"/>
                <w:i/>
                <w:sz w:val="18"/>
                <w:szCs w:val="18"/>
                <w:lang w:val="en-GB"/>
              </w:rPr>
              <w:t xml:space="preserve"> that the only way to deal with the Roma was by applying force to “stamp out this phenomenon that needs to be purged.</w:t>
            </w:r>
            <w:r w:rsidR="008477FC">
              <w:rPr>
                <w:rFonts w:ascii="Verdana" w:eastAsia="MS Mincho" w:hAnsi="Verdana" w:cs="Times New Roman"/>
                <w:b w:val="0"/>
                <w:sz w:val="18"/>
                <w:szCs w:val="18"/>
                <w:lang w:val="en-GB"/>
              </w:rPr>
              <w:t>’</w:t>
            </w:r>
          </w:p>
          <w:p w:rsidR="008477FC" w:rsidRPr="008477FC" w:rsidRDefault="008477FC" w:rsidP="00156CE2">
            <w:pPr>
              <w:contextualSpacing/>
              <w:jc w:val="both"/>
              <w:rPr>
                <w:rFonts w:ascii="Verdana" w:eastAsia="MS Mincho" w:hAnsi="Verdana" w:cs="Times New Roman"/>
                <w:b w:val="0"/>
                <w:sz w:val="18"/>
                <w:szCs w:val="18"/>
                <w:lang w:val="en-GB"/>
              </w:rPr>
            </w:pPr>
          </w:p>
          <w:p w:rsidR="00156CE2" w:rsidRPr="00212077" w:rsidRDefault="00156CE2" w:rsidP="00156CE2">
            <w:pPr>
              <w:contextualSpacing/>
              <w:jc w:val="both"/>
              <w:rPr>
                <w:rFonts w:ascii="Verdana" w:eastAsia="MS Mincho" w:hAnsi="Verdana" w:cs="Times New Roman"/>
                <w:b w:val="0"/>
                <w:sz w:val="18"/>
                <w:szCs w:val="18"/>
              </w:rPr>
            </w:pPr>
            <w:r w:rsidRPr="00156CE2">
              <w:rPr>
                <w:rFonts w:ascii="Verdana" w:eastAsia="MS Mincho" w:hAnsi="Verdana" w:cs="Times New Roman"/>
                <w:sz w:val="18"/>
                <w:szCs w:val="18"/>
                <w:u w:val="single"/>
              </w:rPr>
              <w:t>Comments</w:t>
            </w:r>
            <w:r w:rsidRPr="00156CE2">
              <w:rPr>
                <w:rFonts w:ascii="Verdana" w:eastAsia="MS Mincho" w:hAnsi="Verdana" w:cs="Times New Roman"/>
                <w:sz w:val="18"/>
                <w:szCs w:val="18"/>
              </w:rPr>
              <w:t>:</w:t>
            </w:r>
            <w:r w:rsidR="008477FC">
              <w:rPr>
                <w:rFonts w:ascii="Verdana" w:eastAsia="MS Mincho" w:hAnsi="Verdana" w:cs="Times New Roman"/>
                <w:b w:val="0"/>
                <w:sz w:val="18"/>
                <w:szCs w:val="18"/>
              </w:rPr>
              <w:t xml:space="preserve"> This is a characteristic example of the aforementioned “vigilante” attitude at times underlying a hate crime</w:t>
            </w:r>
            <w:r w:rsidR="00F52580">
              <w:rPr>
                <w:rFonts w:ascii="Verdana" w:eastAsia="MS Mincho" w:hAnsi="Verdana" w:cs="Times New Roman"/>
                <w:b w:val="0"/>
                <w:sz w:val="18"/>
                <w:szCs w:val="18"/>
              </w:rPr>
              <w:t>, and a prominent example as to the elements of a crime which must be investigated in order to uncover hate crimes. In this example, the unambiguously racist speech and call to violence against an ethnic minority, the participation of far-right groups in the demonstration, as well as the place of the demonstration (Roma-inhabited</w:t>
            </w:r>
            <w:r w:rsidR="00564C19">
              <w:rPr>
                <w:rFonts w:ascii="Verdana" w:eastAsia="MS Mincho" w:hAnsi="Verdana" w:cs="Times New Roman"/>
                <w:b w:val="0"/>
                <w:sz w:val="18"/>
                <w:szCs w:val="18"/>
              </w:rPr>
              <w:t xml:space="preserve"> neighborhood</w:t>
            </w:r>
            <w:r w:rsidR="00F52580">
              <w:rPr>
                <w:rFonts w:ascii="Verdana" w:eastAsia="MS Mincho" w:hAnsi="Verdana" w:cs="Times New Roman"/>
                <w:b w:val="0"/>
                <w:sz w:val="18"/>
                <w:szCs w:val="18"/>
              </w:rPr>
              <w:t xml:space="preserve">), speak for themselves as to the nature of the crime. Other elements which could be taken into consideration in similar cases are any potential symbols (e.g. Nazi) the perpetrators may wear, or previous inter-ethnic tensions, which may lead to acts of retribution. </w:t>
            </w:r>
          </w:p>
          <w:p w:rsidR="00C11153" w:rsidRPr="005A2D6B" w:rsidRDefault="00C11153" w:rsidP="00156CE2">
            <w:pPr>
              <w:contextualSpacing/>
              <w:jc w:val="both"/>
              <w:rPr>
                <w:rFonts w:ascii="Verdana" w:eastAsia="MS Mincho" w:hAnsi="Verdana" w:cs="Times New Roman"/>
                <w:b w:val="0"/>
                <w:sz w:val="18"/>
                <w:szCs w:val="18"/>
                <w:u w:val="single"/>
                <w:lang w:val="en-GB"/>
              </w:rPr>
            </w:pPr>
          </w:p>
          <w:p w:rsidR="00C11153" w:rsidRPr="00156CE2" w:rsidRDefault="00C11153" w:rsidP="00156CE2">
            <w:pPr>
              <w:contextualSpacing/>
              <w:jc w:val="both"/>
              <w:rPr>
                <w:rFonts w:ascii="Verdana" w:eastAsia="MS Mincho" w:hAnsi="Verdana" w:cs="Times New Roman"/>
                <w:b w:val="0"/>
                <w:color w:val="0000FF"/>
                <w:sz w:val="18"/>
                <w:szCs w:val="18"/>
                <w:u w:val="single"/>
              </w:rPr>
            </w:pPr>
            <w:r w:rsidRPr="005A2D6B">
              <w:rPr>
                <w:rFonts w:ascii="Verdana" w:eastAsia="MS Mincho" w:hAnsi="Verdana" w:cs="Times New Roman"/>
                <w:sz w:val="18"/>
                <w:szCs w:val="18"/>
                <w:u w:val="single"/>
                <w:lang w:val="en-GB"/>
              </w:rPr>
              <w:t>Analysis</w:t>
            </w:r>
            <w:r w:rsidRPr="005A2D6B">
              <w:rPr>
                <w:rFonts w:ascii="Verdana" w:eastAsia="MS Mincho" w:hAnsi="Verdana" w:cs="Times New Roman"/>
                <w:sz w:val="18"/>
                <w:szCs w:val="18"/>
                <w:lang w:val="en-GB"/>
              </w:rPr>
              <w:t xml:space="preserve">: </w:t>
            </w:r>
            <w:r w:rsidR="008477FC">
              <w:rPr>
                <w:rFonts w:ascii="Verdana" w:eastAsia="MS Mincho" w:hAnsi="Verdana" w:cs="Times New Roman"/>
                <w:b w:val="0"/>
                <w:sz w:val="18"/>
                <w:szCs w:val="18"/>
              </w:rPr>
              <w:t xml:space="preserve">The Court found </w:t>
            </w:r>
            <w:r w:rsidRPr="00156CE2">
              <w:rPr>
                <w:rFonts w:ascii="Verdana" w:eastAsia="MS Mincho" w:hAnsi="Verdana" w:cs="Times New Roman"/>
                <w:b w:val="0"/>
                <w:sz w:val="18"/>
                <w:szCs w:val="18"/>
              </w:rPr>
              <w:t xml:space="preserve">that the authorities’ investigations into the incident had been limited. Namely, one of the investigations – concerning the speeches made during the demonstration – had not taken into account the specific context of the abuse and another – concerning the offence of violence against a group – had been slow and limited to acts of physical violence. The investigations had not therefore established the true and complex nature of the events. The cumulative effect of these shortcomings had meant that an openly racist demonstration, with sporadic acts of violence, had remained virtually without legal consequences. Indeed, the applicants’ psychological integrity had not been effectively protected against what had amounted to nothing less than organised intimidation of the Roma community, by means of a paramilitary parade, verbal threats and speeches advocating a policy of racial segregation. </w:t>
            </w:r>
            <w:r w:rsidRPr="008477FC">
              <w:rPr>
                <w:rFonts w:ascii="Verdana" w:eastAsia="MS Mincho" w:hAnsi="Verdana" w:cs="Times New Roman"/>
                <w:sz w:val="18"/>
                <w:szCs w:val="18"/>
              </w:rPr>
              <w:t>The Court was concerned that this could be perceived by the public as the State’s legitimisation and/or tolerance of such behaviour</w:t>
            </w:r>
            <w:r w:rsidRPr="00156CE2">
              <w:rPr>
                <w:rFonts w:ascii="Verdana" w:eastAsia="MS Mincho" w:hAnsi="Verdana" w:cs="Times New Roman"/>
                <w:b w:val="0"/>
                <w:sz w:val="18"/>
                <w:szCs w:val="18"/>
              </w:rPr>
              <w:t>.</w:t>
            </w:r>
          </w:p>
          <w:p w:rsidR="00C11153" w:rsidRPr="005A2D6B" w:rsidRDefault="00C11153" w:rsidP="00156CE2">
            <w:pPr>
              <w:contextualSpacing/>
              <w:jc w:val="both"/>
              <w:rPr>
                <w:rFonts w:ascii="Verdana" w:eastAsia="MS Mincho" w:hAnsi="Verdana" w:cs="Times New Roman"/>
                <w:b w:val="0"/>
                <w:sz w:val="18"/>
                <w:szCs w:val="18"/>
              </w:rPr>
            </w:pPr>
          </w:p>
          <w:p w:rsidR="00C11153" w:rsidRPr="008A5719" w:rsidRDefault="00C11153" w:rsidP="008A5719">
            <w:pPr>
              <w:pStyle w:val="Listaszerbekezds"/>
              <w:jc w:val="both"/>
              <w:rPr>
                <w:rFonts w:ascii="Verdana" w:eastAsia="MS Mincho" w:hAnsi="Verdana" w:cs="Times New Roman"/>
                <w:b w:val="0"/>
                <w:i/>
                <w:sz w:val="18"/>
                <w:szCs w:val="18"/>
                <w:lang w:val="en-GB"/>
              </w:rPr>
            </w:pPr>
            <w:r w:rsidRPr="00156CE2">
              <w:rPr>
                <w:rFonts w:ascii="Verdana" w:eastAsia="MS Mincho" w:hAnsi="Verdana" w:cs="Times New Roman"/>
                <w:b w:val="0"/>
                <w:i/>
                <w:sz w:val="18"/>
                <w:szCs w:val="18"/>
                <w:u w:val="single"/>
              </w:rPr>
              <w:t>Para. 64</w:t>
            </w:r>
            <w:r w:rsidRPr="00156CE2">
              <w:rPr>
                <w:rFonts w:ascii="Verdana" w:eastAsia="MS Mincho" w:hAnsi="Verdana" w:cs="Times New Roman"/>
                <w:b w:val="0"/>
                <w:i/>
                <w:sz w:val="18"/>
                <w:szCs w:val="18"/>
              </w:rPr>
              <w:t>:</w:t>
            </w:r>
            <w:r w:rsidRPr="00156CE2">
              <w:rPr>
                <w:rFonts w:ascii="Verdana" w:eastAsia="MS Mincho" w:hAnsi="Verdana" w:cs="Times New Roman"/>
                <w:b w:val="0"/>
                <w:i/>
                <w:sz w:val="18"/>
                <w:szCs w:val="18"/>
                <w:lang w:val="en-GB"/>
              </w:rPr>
              <w:t xml:space="preserve"> As regards the decision of the police, subsequently reviewed by the</w:t>
            </w:r>
            <w:r w:rsidRPr="008A5719">
              <w:rPr>
                <w:rFonts w:ascii="Verdana" w:eastAsia="MS Mincho" w:hAnsi="Verdana" w:cs="Times New Roman"/>
                <w:b w:val="0"/>
                <w:i/>
                <w:sz w:val="18"/>
                <w:szCs w:val="18"/>
                <w:lang w:val="en-GB"/>
              </w:rPr>
              <w:t>Administrative and Labour Court and the Kúria, not to disperse thedemonstration, this Court has previously accepted that in certain situationsthe domestic authorities might be required to proceed with the dispersal of aviolent and blatantly intolerant demonstration in order to protect anindividual’s private life under Article 8 (see R.B. v. Hungary, citedabove, § 99). Examining the domestic approach to dispersal ofdemonstrations, it appears that the police have a similar obligation todisband an assembly if the exercise of the right of assembly constitutes acriminal offence or a call to commit such an offence, or if it violates therights and freedoms of others, as demonstrated by the judgment of theConstitutional Court (see paragraph 35 above).</w:t>
            </w:r>
          </w:p>
          <w:p w:rsidR="00C11153" w:rsidRPr="00156CE2" w:rsidRDefault="00C11153" w:rsidP="00156CE2">
            <w:pPr>
              <w:pStyle w:val="Listaszerbekezds"/>
              <w:jc w:val="both"/>
              <w:rPr>
                <w:rFonts w:ascii="Verdana" w:eastAsia="MS Mincho" w:hAnsi="Verdana" w:cs="Times New Roman"/>
                <w:b w:val="0"/>
                <w:i/>
                <w:sz w:val="18"/>
                <w:szCs w:val="18"/>
                <w:u w:val="single"/>
                <w:lang w:val="en-GB"/>
              </w:rPr>
            </w:pPr>
          </w:p>
          <w:p w:rsidR="00C11153" w:rsidRPr="008A5719" w:rsidRDefault="00C11153" w:rsidP="008A5719">
            <w:pPr>
              <w:pStyle w:val="Listaszerbekezds"/>
              <w:jc w:val="both"/>
              <w:rPr>
                <w:rFonts w:ascii="Verdana" w:eastAsia="MS Mincho" w:hAnsi="Verdana" w:cs="Times New Roman"/>
                <w:b w:val="0"/>
                <w:i/>
                <w:sz w:val="18"/>
                <w:szCs w:val="18"/>
              </w:rPr>
            </w:pPr>
            <w:r w:rsidRPr="00156CE2">
              <w:rPr>
                <w:rFonts w:ascii="Verdana" w:eastAsia="MS Mincho" w:hAnsi="Verdana" w:cs="Times New Roman"/>
                <w:b w:val="0"/>
                <w:i/>
                <w:sz w:val="18"/>
                <w:szCs w:val="18"/>
                <w:u w:val="single"/>
                <w:lang w:val="en-GB"/>
              </w:rPr>
              <w:t>Para. 77</w:t>
            </w:r>
            <w:r w:rsidRPr="00156CE2">
              <w:rPr>
                <w:rFonts w:ascii="Verdana" w:eastAsia="MS Mincho" w:hAnsi="Verdana" w:cs="Times New Roman"/>
                <w:b w:val="0"/>
                <w:i/>
                <w:sz w:val="18"/>
                <w:szCs w:val="18"/>
                <w:lang w:val="en-GB"/>
              </w:rPr>
              <w:t>:</w:t>
            </w:r>
            <w:r w:rsidRPr="00156CE2">
              <w:rPr>
                <w:rFonts w:ascii="Verdana" w:eastAsia="MS Mincho" w:hAnsi="Verdana" w:cs="Times New Roman"/>
                <w:b w:val="0"/>
                <w:i/>
                <w:sz w:val="18"/>
                <w:szCs w:val="18"/>
              </w:rPr>
              <w:t xml:space="preserve">Moreover, </w:t>
            </w:r>
            <w:r w:rsidRPr="006902D7">
              <w:rPr>
                <w:rFonts w:ascii="Verdana" w:eastAsia="MS Mincho" w:hAnsi="Verdana" w:cs="Times New Roman"/>
                <w:i/>
                <w:sz w:val="18"/>
                <w:szCs w:val="18"/>
              </w:rPr>
              <w:t>the event was organised in a period when marchesinvolving large groups and targeting the Roma minority had taken place ona scale that could qualify as “large-scale, coordinated intimidation”</w:t>
            </w:r>
            <w:r w:rsidRPr="008A5719">
              <w:rPr>
                <w:rFonts w:ascii="Verdana" w:eastAsia="MS Mincho" w:hAnsi="Verdana" w:cs="Times New Roman"/>
                <w:b w:val="0"/>
                <w:i/>
                <w:sz w:val="18"/>
                <w:szCs w:val="18"/>
              </w:rPr>
              <w:t xml:space="preserve"> (seeVona, cited above, § 69).</w:t>
            </w:r>
          </w:p>
          <w:p w:rsidR="00C11153" w:rsidRPr="00156CE2" w:rsidRDefault="00C11153" w:rsidP="00156CE2">
            <w:pPr>
              <w:pStyle w:val="Listaszerbekezds"/>
              <w:jc w:val="both"/>
              <w:rPr>
                <w:rFonts w:ascii="Verdana" w:eastAsia="MS Mincho" w:hAnsi="Verdana" w:cs="Times New Roman"/>
                <w:b w:val="0"/>
                <w:i/>
                <w:sz w:val="18"/>
                <w:szCs w:val="18"/>
                <w:u w:val="single"/>
              </w:rPr>
            </w:pPr>
          </w:p>
          <w:p w:rsidR="00C11153" w:rsidRPr="008A5719" w:rsidRDefault="00C11153" w:rsidP="008A5719">
            <w:pPr>
              <w:pStyle w:val="Listaszerbekezds"/>
              <w:jc w:val="both"/>
              <w:rPr>
                <w:rFonts w:ascii="Verdana" w:eastAsia="MS Mincho" w:hAnsi="Verdana" w:cs="Times New Roman"/>
                <w:b w:val="0"/>
                <w:i/>
                <w:sz w:val="18"/>
                <w:szCs w:val="18"/>
              </w:rPr>
            </w:pPr>
            <w:r w:rsidRPr="00156CE2">
              <w:rPr>
                <w:rFonts w:ascii="Verdana" w:eastAsia="MS Mincho" w:hAnsi="Verdana" w:cs="Times New Roman"/>
                <w:b w:val="0"/>
                <w:i/>
                <w:sz w:val="18"/>
                <w:szCs w:val="18"/>
                <w:u w:val="single"/>
              </w:rPr>
              <w:t>Para. 78</w:t>
            </w:r>
            <w:r w:rsidRPr="00156CE2">
              <w:rPr>
                <w:rFonts w:ascii="Verdana" w:eastAsia="MS Mincho" w:hAnsi="Verdana" w:cs="Times New Roman"/>
                <w:b w:val="0"/>
                <w:i/>
                <w:sz w:val="18"/>
                <w:szCs w:val="18"/>
              </w:rPr>
              <w:t xml:space="preserve">: </w:t>
            </w:r>
            <w:r w:rsidRPr="008A5719">
              <w:rPr>
                <w:rFonts w:ascii="Verdana" w:eastAsia="MS Mincho" w:hAnsi="Verdana" w:cs="Times New Roman"/>
                <w:b w:val="0"/>
                <w:i/>
                <w:sz w:val="18"/>
                <w:szCs w:val="18"/>
              </w:rPr>
              <w:t>For the Court, these were relevant factors that should have beentaken into consideration when assessing the nature of the speeches. This isall the more so that according to the domestic courts’ case-law, raciststatements together with the context in which they were expressed couldconstitute a clear and imminent risk of violence and violation of the rightsof others (see paragraph 36 above). However, it appears that theinvestigating authorities paid no heed to those elements when concludingthat the statements had been hateful and abusive but that they had notincited violence. Thus, the domestic authorities inexplicably narrowed downthe scope of their investigations.</w:t>
            </w:r>
          </w:p>
          <w:p w:rsidR="00C11153" w:rsidRPr="00156CE2" w:rsidRDefault="00C11153" w:rsidP="00156CE2">
            <w:pPr>
              <w:pStyle w:val="Listaszerbekezds"/>
              <w:jc w:val="both"/>
              <w:rPr>
                <w:rFonts w:ascii="Verdana" w:eastAsia="MS Mincho" w:hAnsi="Verdana" w:cs="Times New Roman"/>
                <w:b w:val="0"/>
                <w:i/>
                <w:sz w:val="18"/>
                <w:szCs w:val="18"/>
                <w:u w:val="single"/>
              </w:rPr>
            </w:pPr>
          </w:p>
          <w:p w:rsidR="00C11153" w:rsidRPr="008A5719" w:rsidRDefault="00C11153" w:rsidP="00421C20">
            <w:pPr>
              <w:pStyle w:val="Listaszerbekezds"/>
              <w:jc w:val="both"/>
              <w:rPr>
                <w:rFonts w:ascii="Verdana" w:eastAsia="MS Mincho" w:hAnsi="Verdana" w:cs="Times New Roman"/>
                <w:b w:val="0"/>
                <w:i/>
                <w:sz w:val="18"/>
                <w:szCs w:val="18"/>
              </w:rPr>
            </w:pPr>
            <w:r w:rsidRPr="00156CE2">
              <w:rPr>
                <w:rFonts w:ascii="Verdana" w:eastAsia="MS Mincho" w:hAnsi="Verdana" w:cs="Times New Roman"/>
                <w:b w:val="0"/>
                <w:i/>
                <w:sz w:val="18"/>
                <w:szCs w:val="18"/>
                <w:u w:val="single"/>
              </w:rPr>
              <w:t>Para. 79</w:t>
            </w:r>
            <w:r w:rsidRPr="00156CE2">
              <w:rPr>
                <w:rFonts w:ascii="Verdana" w:eastAsia="MS Mincho" w:hAnsi="Verdana" w:cs="Times New Roman"/>
                <w:b w:val="0"/>
                <w:i/>
                <w:sz w:val="18"/>
                <w:szCs w:val="18"/>
              </w:rPr>
              <w:t>: As regards the criminal investigations into the offence of violence</w:t>
            </w:r>
            <w:r w:rsidRPr="008A5719">
              <w:rPr>
                <w:rFonts w:ascii="Verdana" w:eastAsia="MS Mincho" w:hAnsi="Verdana" w:cs="Times New Roman"/>
                <w:b w:val="0"/>
                <w:i/>
                <w:sz w:val="18"/>
                <w:szCs w:val="18"/>
              </w:rPr>
              <w:t xml:space="preserve">against a member of a group, the Court recalls that for an “investigation tobe regarded as ‘effective’, it should in principle be capable of leading to theestablishment of the facts of the case and to the identification andpunishment of those responsible. This is not an obligation of result, but oneof means” (see, albeit in the context of Article 3, Identoba and Othersv. Georgia, no. 73235/12, § 66, 12 May 2015). In the present case, theseproceedings lasted almost three years; and their scope </w:t>
            </w:r>
            <w:r w:rsidRPr="008A5719">
              <w:rPr>
                <w:rFonts w:ascii="Verdana" w:eastAsia="MS Mincho" w:hAnsi="Verdana" w:cs="Times New Roman"/>
                <w:b w:val="0"/>
                <w:i/>
                <w:sz w:val="18"/>
                <w:szCs w:val="18"/>
              </w:rPr>
              <w:lastRenderedPageBreak/>
              <w:t>was statutorily boundto be limited to the actual acts of violence. The authorities eventuallyidentified one incident liable to prosecution; the perpetrator was prosecutedfor, and charged with, violence against a member of a group and convictedof that offence. Although the police had sufficient time to preparethemselves for the event and should have been able to interrogate numerouspersons after the incident (see paragraph 17 above), only five demonstratorswere questioned; and three of the alleged perpetrators could not beidentified. For the lack of any other elements possibly falling within thehypothesis of the offence in question, the police were not in a position toextend the scope of the prosecution to any other protagonists. In thesecircumstances, the Court finds that this course of action in itself was not“capable of leading to the establishment of the facts of the case” and did notconstitute a sufficient response to the true and complex nature of thesituation complained of.</w:t>
            </w:r>
          </w:p>
          <w:p w:rsidR="00C11153" w:rsidRPr="00156CE2" w:rsidRDefault="00C11153" w:rsidP="00156CE2">
            <w:pPr>
              <w:pStyle w:val="Listaszerbekezds"/>
              <w:jc w:val="both"/>
              <w:rPr>
                <w:rFonts w:ascii="Verdana" w:eastAsia="MS Mincho" w:hAnsi="Verdana" w:cs="Times New Roman"/>
                <w:b w:val="0"/>
                <w:i/>
                <w:sz w:val="18"/>
                <w:szCs w:val="18"/>
                <w:u w:val="single"/>
              </w:rPr>
            </w:pPr>
          </w:p>
          <w:p w:rsidR="00C11153" w:rsidRPr="008A5719" w:rsidRDefault="00C11153" w:rsidP="008A5719">
            <w:pPr>
              <w:pStyle w:val="Listaszerbekezds"/>
              <w:jc w:val="both"/>
              <w:rPr>
                <w:rFonts w:ascii="Verdana" w:eastAsia="MS Mincho" w:hAnsi="Verdana" w:cs="Times New Roman"/>
                <w:b w:val="0"/>
                <w:i/>
                <w:sz w:val="18"/>
                <w:szCs w:val="18"/>
              </w:rPr>
            </w:pPr>
            <w:r w:rsidRPr="00156CE2">
              <w:rPr>
                <w:rFonts w:ascii="Verdana" w:eastAsia="MS Mincho" w:hAnsi="Verdana" w:cs="Times New Roman"/>
                <w:b w:val="0"/>
                <w:i/>
                <w:sz w:val="18"/>
                <w:szCs w:val="18"/>
                <w:u w:val="single"/>
              </w:rPr>
              <w:t>Para. 80</w:t>
            </w:r>
            <w:r w:rsidRPr="00156CE2">
              <w:rPr>
                <w:rFonts w:ascii="Verdana" w:eastAsia="MS Mincho" w:hAnsi="Verdana" w:cs="Times New Roman"/>
                <w:b w:val="0"/>
                <w:i/>
                <w:sz w:val="18"/>
                <w:szCs w:val="18"/>
              </w:rPr>
              <w:t>: The cumulative effect of those shortcomings in the investigations,</w:t>
            </w:r>
            <w:r w:rsidRPr="008A5719">
              <w:rPr>
                <w:rFonts w:ascii="Verdana" w:eastAsia="MS Mincho" w:hAnsi="Verdana" w:cs="Times New Roman"/>
                <w:b w:val="0"/>
                <w:i/>
                <w:sz w:val="18"/>
                <w:szCs w:val="18"/>
              </w:rPr>
              <w:t>especially the lack of a comprehensive law enforcement approach into theevents, was that an openly racist demonstration, with sporadic acts ofviolence (see paragraphs 11-12 and 25-26 above) remained virtually withoutlegal consequences and the applicants were not provided with the requiredprotection of their right to psychological in</w:t>
            </w:r>
            <w:r w:rsidR="008A5719" w:rsidRPr="008A5719">
              <w:rPr>
                <w:rFonts w:ascii="Verdana" w:eastAsia="MS Mincho" w:hAnsi="Verdana" w:cs="Times New Roman"/>
                <w:b w:val="0"/>
                <w:i/>
                <w:sz w:val="18"/>
                <w:szCs w:val="18"/>
              </w:rPr>
              <w:t xml:space="preserve">tegrity. They could not benefit </w:t>
            </w:r>
            <w:r w:rsidRPr="008A5719">
              <w:rPr>
                <w:rFonts w:ascii="Verdana" w:eastAsia="MS Mincho" w:hAnsi="Verdana" w:cs="Times New Roman"/>
                <w:b w:val="0"/>
                <w:i/>
                <w:sz w:val="18"/>
                <w:szCs w:val="18"/>
              </w:rPr>
              <w:t>ofthe implementation of a legal framework affording effective protectionagainst an openly anti-Roma demonstration, the aim of which was no lessthan the organised intimidation of the Roma community, including theapplicants, by means of a paramilitary parade, verbal threats and speechesadvocating a policy of racial segregation.</w:t>
            </w:r>
            <w:r w:rsidRPr="008A5719">
              <w:rPr>
                <w:rFonts w:ascii="Verdana" w:eastAsia="MS Mincho" w:hAnsi="Verdana" w:cs="Times New Roman"/>
                <w:i/>
                <w:sz w:val="18"/>
                <w:szCs w:val="18"/>
              </w:rPr>
              <w:t xml:space="preserve"> The Court is concerned that thegeneral public might have perceived such practice as legitimisation and/ortolerance of such events by the State.</w:t>
            </w:r>
          </w:p>
        </w:tc>
      </w:tr>
    </w:tbl>
    <w:p w:rsidR="00156CE2" w:rsidRDefault="00156CE2" w:rsidP="00156CE2">
      <w:pPr>
        <w:jc w:val="both"/>
        <w:rPr>
          <w:rFonts w:ascii="Times New Roman" w:hAnsi="Times New Roman" w:cs="Times New Roman"/>
          <w:iCs/>
          <w:sz w:val="24"/>
          <w:szCs w:val="24"/>
          <w:lang w:val="en-GB"/>
        </w:rPr>
      </w:pPr>
    </w:p>
    <w:p w:rsidR="003913BD" w:rsidRDefault="008948A8" w:rsidP="00156CE2">
      <w:pPr>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In a similar vein</w:t>
      </w:r>
      <w:r w:rsidR="00B173A9" w:rsidRPr="004521C7">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one could consider the issue </w:t>
      </w:r>
      <w:r w:rsidR="00577DF1" w:rsidRPr="004521C7">
        <w:rPr>
          <w:rFonts w:ascii="Times New Roman" w:hAnsi="Times New Roman" w:cs="Times New Roman"/>
          <w:iCs/>
          <w:sz w:val="24"/>
          <w:szCs w:val="24"/>
          <w:lang w:val="en-US"/>
        </w:rPr>
        <w:t>of Migration,</w:t>
      </w:r>
      <w:r>
        <w:rPr>
          <w:rFonts w:ascii="Times New Roman" w:hAnsi="Times New Roman" w:cs="Times New Roman"/>
          <w:iCs/>
          <w:sz w:val="24"/>
          <w:szCs w:val="24"/>
          <w:lang w:val="en-US"/>
        </w:rPr>
        <w:t xml:space="preserve"> which especially following the Refugee-European Crisis of 2015-2016, has once again brought to the fore an antagonistic debate between its (i.e. Migration</w:t>
      </w:r>
      <w:r w:rsidR="00EA043D">
        <w:rPr>
          <w:rFonts w:ascii="Times New Roman" w:hAnsi="Times New Roman" w:cs="Times New Roman"/>
          <w:iCs/>
          <w:sz w:val="24"/>
          <w:szCs w:val="24"/>
          <w:lang w:val="en-US"/>
        </w:rPr>
        <w:t>’s</w:t>
      </w:r>
      <w:r>
        <w:rPr>
          <w:rFonts w:ascii="Times New Roman" w:hAnsi="Times New Roman" w:cs="Times New Roman"/>
          <w:iCs/>
          <w:sz w:val="24"/>
          <w:szCs w:val="24"/>
          <w:lang w:val="en-US"/>
        </w:rPr>
        <w:t xml:space="preserve">) being a “threat” or an “opportunity”. In terms of the former, hostility against the figure of the migrant –or even the refugee– </w:t>
      </w:r>
      <w:r w:rsidR="003913BD">
        <w:rPr>
          <w:rFonts w:ascii="Times New Roman" w:hAnsi="Times New Roman" w:cs="Times New Roman"/>
          <w:iCs/>
          <w:sz w:val="24"/>
          <w:szCs w:val="24"/>
          <w:lang w:val="en-US"/>
        </w:rPr>
        <w:t>can be rooted in a number of reasons (the fear of terrorism being one). Yet very commonly, in modern times, this hostility has also been connected to a sort of abstract fear towards “change”. A “change” that, embodied as it is in the figure of the stranger (i.e. the migrant), whose arrival-establishment in the local community may be perceived as bearing the risk of alienating cultural norms and customs, may lead to the creation of feelings of resentment towards this figure by parts of the local population</w:t>
      </w:r>
      <w:r w:rsidR="00212E56" w:rsidRPr="004521C7">
        <w:rPr>
          <w:rFonts w:ascii="Times New Roman" w:hAnsi="Times New Roman" w:cs="Times New Roman"/>
          <w:iCs/>
          <w:sz w:val="24"/>
          <w:szCs w:val="24"/>
          <w:lang w:val="en-US"/>
        </w:rPr>
        <w:t>.</w:t>
      </w:r>
      <w:r w:rsidR="00D40A31">
        <w:rPr>
          <w:rStyle w:val="Lbjegyzet-hivatkozs"/>
          <w:rFonts w:ascii="Times New Roman" w:hAnsi="Times New Roman" w:cs="Times New Roman"/>
          <w:iCs/>
          <w:sz w:val="24"/>
          <w:szCs w:val="24"/>
          <w:lang w:val="en-US"/>
        </w:rPr>
        <w:footnoteReference w:id="8"/>
      </w:r>
    </w:p>
    <w:p w:rsidR="003B256E" w:rsidRPr="00A1790F" w:rsidRDefault="002164D6" w:rsidP="00A1790F">
      <w:pPr>
        <w:ind w:firstLine="720"/>
        <w:jc w:val="both"/>
        <w:rPr>
          <w:rFonts w:ascii="Times New Roman" w:hAnsi="Times New Roman" w:cs="Times New Roman"/>
          <w:iCs/>
          <w:sz w:val="24"/>
          <w:szCs w:val="24"/>
          <w:lang w:val="en-US"/>
        </w:rPr>
      </w:pPr>
      <w:r w:rsidRPr="004521C7">
        <w:rPr>
          <w:rFonts w:ascii="Times New Roman" w:hAnsi="Times New Roman" w:cs="Times New Roman"/>
          <w:iCs/>
          <w:sz w:val="24"/>
          <w:szCs w:val="24"/>
          <w:lang w:val="en-US"/>
        </w:rPr>
        <w:t xml:space="preserve">Point being that, </w:t>
      </w:r>
      <w:r w:rsidR="003B256E" w:rsidRPr="004521C7">
        <w:rPr>
          <w:rFonts w:ascii="Times New Roman" w:hAnsi="Times New Roman" w:cs="Times New Roman"/>
          <w:iCs/>
          <w:sz w:val="24"/>
          <w:szCs w:val="24"/>
          <w:lang w:val="en-US"/>
        </w:rPr>
        <w:t>irrelevantly of its exact psychological manifestation (hate, resentment, fear</w:t>
      </w:r>
      <w:r w:rsidR="00E1246C" w:rsidRPr="004521C7">
        <w:rPr>
          <w:rFonts w:ascii="Times New Roman" w:hAnsi="Times New Roman" w:cs="Times New Roman"/>
          <w:iCs/>
          <w:sz w:val="24"/>
          <w:szCs w:val="24"/>
          <w:lang w:val="en-US"/>
        </w:rPr>
        <w:t>, the need to be accepted by others</w:t>
      </w:r>
      <w:r w:rsidR="003B256E" w:rsidRPr="004521C7">
        <w:rPr>
          <w:rFonts w:ascii="Times New Roman" w:hAnsi="Times New Roman" w:cs="Times New Roman"/>
          <w:iCs/>
          <w:sz w:val="24"/>
          <w:szCs w:val="24"/>
          <w:lang w:val="en-US"/>
        </w:rPr>
        <w:t>?),</w:t>
      </w:r>
      <w:r w:rsidR="003913BD">
        <w:rPr>
          <w:rFonts w:ascii="Times New Roman" w:hAnsi="Times New Roman" w:cs="Times New Roman"/>
          <w:iCs/>
          <w:sz w:val="24"/>
          <w:szCs w:val="24"/>
          <w:lang w:val="en-US"/>
        </w:rPr>
        <w:t xml:space="preserve"> whose triggering rationality can range from highly concrete to highly abstract reasons</w:t>
      </w:r>
      <w:r w:rsidR="0079440B" w:rsidRPr="004521C7">
        <w:rPr>
          <w:rFonts w:ascii="Times New Roman" w:hAnsi="Times New Roman" w:cs="Times New Roman"/>
          <w:iCs/>
          <w:sz w:val="24"/>
          <w:szCs w:val="24"/>
          <w:lang w:val="en-US"/>
        </w:rPr>
        <w:t>,</w:t>
      </w:r>
      <w:r w:rsidRPr="004521C7">
        <w:rPr>
          <w:rFonts w:ascii="Times New Roman" w:hAnsi="Times New Roman" w:cs="Times New Roman"/>
          <w:iCs/>
          <w:sz w:val="24"/>
          <w:szCs w:val="24"/>
          <w:u w:val="single"/>
          <w:lang w:val="en-US"/>
        </w:rPr>
        <w:t>prejudice</w:t>
      </w:r>
      <w:r w:rsidR="003B256E" w:rsidRPr="004521C7">
        <w:rPr>
          <w:rFonts w:ascii="Times New Roman" w:hAnsi="Times New Roman" w:cs="Times New Roman"/>
          <w:iCs/>
          <w:sz w:val="24"/>
          <w:szCs w:val="24"/>
          <w:lang w:val="en-US"/>
        </w:rPr>
        <w:t>is the first precondition of a hate crime.</w:t>
      </w:r>
      <w:r w:rsidR="0079440B" w:rsidRPr="004521C7">
        <w:rPr>
          <w:rFonts w:ascii="Times New Roman" w:hAnsi="Times New Roman" w:cs="Times New Roman"/>
          <w:iCs/>
          <w:sz w:val="24"/>
          <w:szCs w:val="24"/>
          <w:lang w:val="en-US"/>
        </w:rPr>
        <w:t xml:space="preserve"> And for the purposes of retaining its multifaceted</w:t>
      </w:r>
      <w:r w:rsidR="00A1790F">
        <w:rPr>
          <w:rFonts w:ascii="Times New Roman" w:hAnsi="Times New Roman" w:cs="Times New Roman"/>
          <w:iCs/>
          <w:sz w:val="24"/>
          <w:szCs w:val="24"/>
          <w:lang w:val="en-US"/>
        </w:rPr>
        <w:t xml:space="preserve"> nature, one can perceive it as</w:t>
      </w:r>
      <w:r w:rsidR="0079440B" w:rsidRPr="00EA043D">
        <w:rPr>
          <w:rFonts w:ascii="Times New Roman" w:hAnsi="Times New Roman" w:cs="Times New Roman"/>
          <w:i/>
          <w:sz w:val="24"/>
          <w:szCs w:val="24"/>
          <w:lang w:val="en-US"/>
        </w:rPr>
        <w:t>‘</w:t>
      </w:r>
      <w:r w:rsidR="00E1246C" w:rsidRPr="00A1790F">
        <w:rPr>
          <w:rFonts w:ascii="Times New Roman" w:hAnsi="Times New Roman" w:cs="Times New Roman"/>
          <w:i/>
          <w:sz w:val="24"/>
          <w:szCs w:val="24"/>
          <w:lang w:val="en-US"/>
        </w:rPr>
        <w:t>any attitude, emotion or behaviour towards members of a group which directly or indirectly implies some negativity or antipathy towards that group</w:t>
      </w:r>
      <w:r w:rsidR="00E1246C" w:rsidRPr="00EA043D">
        <w:rPr>
          <w:rFonts w:ascii="Times New Roman" w:hAnsi="Times New Roman" w:cs="Times New Roman"/>
          <w:i/>
          <w:sz w:val="24"/>
          <w:szCs w:val="24"/>
          <w:lang w:val="en-US"/>
        </w:rPr>
        <w:t>’</w:t>
      </w:r>
      <w:r w:rsidR="00A1790F">
        <w:rPr>
          <w:rFonts w:ascii="Times New Roman" w:hAnsi="Times New Roman" w:cs="Times New Roman"/>
          <w:i/>
          <w:sz w:val="24"/>
          <w:szCs w:val="24"/>
          <w:lang w:val="en-US"/>
        </w:rPr>
        <w:t>.</w:t>
      </w:r>
      <w:r w:rsidR="00BE7F99" w:rsidRPr="00A1790F">
        <w:rPr>
          <w:rStyle w:val="Lbjegyzet-hivatkozs"/>
          <w:rFonts w:ascii="Times New Roman" w:hAnsi="Times New Roman" w:cs="Times New Roman"/>
          <w:sz w:val="24"/>
          <w:szCs w:val="24"/>
          <w:lang w:val="en-US"/>
        </w:rPr>
        <w:footnoteReference w:id="9"/>
      </w:r>
    </w:p>
    <w:p w:rsidR="0079440B" w:rsidRPr="004521C7" w:rsidRDefault="002B0585" w:rsidP="00242CDD">
      <w:pPr>
        <w:ind w:firstLine="720"/>
        <w:jc w:val="both"/>
        <w:rPr>
          <w:rFonts w:ascii="Times New Roman" w:hAnsi="Times New Roman" w:cs="Times New Roman"/>
          <w:bCs/>
          <w:iCs/>
          <w:sz w:val="24"/>
          <w:szCs w:val="24"/>
          <w:lang w:val="en-US"/>
        </w:rPr>
      </w:pPr>
      <w:r w:rsidRPr="004521C7">
        <w:rPr>
          <w:rFonts w:ascii="Times New Roman" w:hAnsi="Times New Roman" w:cs="Times New Roman"/>
          <w:bCs/>
          <w:iCs/>
          <w:sz w:val="24"/>
          <w:szCs w:val="24"/>
          <w:lang w:val="en-US"/>
        </w:rPr>
        <w:lastRenderedPageBreak/>
        <w:t xml:space="preserve">That being said, the emphasis placed on the word “group” is of crucial importance for understanding hate crimes, and for this reason we now need to turn to the </w:t>
      </w:r>
      <w:r w:rsidR="00413735">
        <w:rPr>
          <w:rFonts w:ascii="Times New Roman" w:hAnsi="Times New Roman" w:cs="Times New Roman"/>
          <w:bCs/>
          <w:iCs/>
          <w:sz w:val="24"/>
          <w:szCs w:val="24"/>
          <w:lang w:val="en-US"/>
        </w:rPr>
        <w:t>matter</w:t>
      </w:r>
      <w:r w:rsidRPr="004521C7">
        <w:rPr>
          <w:rFonts w:ascii="Times New Roman" w:hAnsi="Times New Roman" w:cs="Times New Roman"/>
          <w:bCs/>
          <w:iCs/>
          <w:sz w:val="24"/>
          <w:szCs w:val="24"/>
          <w:lang w:val="en-US"/>
        </w:rPr>
        <w:t xml:space="preserve"> of protected characteristics. </w:t>
      </w:r>
    </w:p>
    <w:p w:rsidR="00A15260" w:rsidRPr="004521C7" w:rsidRDefault="00A15260" w:rsidP="0079440B">
      <w:pPr>
        <w:jc w:val="both"/>
        <w:rPr>
          <w:rFonts w:ascii="Times New Roman" w:hAnsi="Times New Roman" w:cs="Times New Roman"/>
          <w:bCs/>
          <w:iCs/>
          <w:sz w:val="24"/>
          <w:szCs w:val="24"/>
          <w:lang w:val="en-US"/>
        </w:rPr>
      </w:pPr>
    </w:p>
    <w:p w:rsidR="0079440B" w:rsidRPr="004521C7" w:rsidRDefault="0079440B" w:rsidP="00113F03">
      <w:pPr>
        <w:pStyle w:val="Cmsor2"/>
        <w:rPr>
          <w:lang w:val="en-US"/>
        </w:rPr>
      </w:pPr>
      <w:bookmarkStart w:id="2" w:name="_Toc490844992"/>
      <w:r w:rsidRPr="004521C7">
        <w:rPr>
          <w:lang w:val="en-US"/>
        </w:rPr>
        <w:t>1.2 Protected Characteristics</w:t>
      </w:r>
      <w:bookmarkEnd w:id="2"/>
    </w:p>
    <w:p w:rsidR="00A15260" w:rsidRDefault="00A15260" w:rsidP="0079440B">
      <w:pPr>
        <w:jc w:val="both"/>
        <w:rPr>
          <w:rFonts w:ascii="Times New Roman" w:hAnsi="Times New Roman" w:cs="Times New Roman"/>
          <w:iCs/>
          <w:sz w:val="24"/>
          <w:szCs w:val="24"/>
          <w:lang w:val="en-US"/>
        </w:rPr>
      </w:pPr>
    </w:p>
    <w:p w:rsidR="0079440B" w:rsidRPr="004521C7" w:rsidRDefault="0079440B" w:rsidP="0079440B">
      <w:pPr>
        <w:jc w:val="both"/>
        <w:rPr>
          <w:rFonts w:ascii="Times New Roman" w:hAnsi="Times New Roman" w:cs="Times New Roman"/>
          <w:iCs/>
          <w:sz w:val="24"/>
          <w:szCs w:val="24"/>
          <w:lang w:val="en-US"/>
        </w:rPr>
      </w:pPr>
      <w:r w:rsidRPr="004521C7">
        <w:rPr>
          <w:rFonts w:ascii="Times New Roman" w:hAnsi="Times New Roman" w:cs="Times New Roman"/>
          <w:iCs/>
          <w:sz w:val="24"/>
          <w:szCs w:val="24"/>
          <w:lang w:val="en-US"/>
        </w:rPr>
        <w:t>Protected</w:t>
      </w:r>
      <w:r w:rsidR="00756D58">
        <w:rPr>
          <w:rFonts w:ascii="Times New Roman" w:hAnsi="Times New Roman" w:cs="Times New Roman"/>
          <w:iCs/>
          <w:sz w:val="24"/>
          <w:szCs w:val="24"/>
          <w:lang w:val="en-US"/>
        </w:rPr>
        <w:t xml:space="preserve"> characteristics are quintessentialfeatures of individual and group identity. </w:t>
      </w:r>
      <w:r w:rsidRPr="004521C7">
        <w:rPr>
          <w:rFonts w:ascii="Times New Roman" w:hAnsi="Times New Roman" w:cs="Times New Roman"/>
          <w:iCs/>
          <w:sz w:val="24"/>
          <w:szCs w:val="24"/>
          <w:lang w:val="en-US"/>
        </w:rPr>
        <w:t>More precisely, they are those core elements</w:t>
      </w:r>
      <w:r w:rsidR="00CC67CC">
        <w:rPr>
          <w:rFonts w:ascii="Times New Roman" w:hAnsi="Times New Roman" w:cs="Times New Roman"/>
          <w:iCs/>
          <w:sz w:val="24"/>
          <w:szCs w:val="24"/>
          <w:lang w:val="en-US"/>
        </w:rPr>
        <w:t xml:space="preserve"> considered as being </w:t>
      </w:r>
      <w:r w:rsidR="00756D58">
        <w:rPr>
          <w:rFonts w:ascii="Times New Roman" w:hAnsi="Times New Roman" w:cs="Times New Roman"/>
          <w:iCs/>
          <w:sz w:val="24"/>
          <w:szCs w:val="24"/>
          <w:lang w:val="en-US"/>
        </w:rPr>
        <w:t>shared</w:t>
      </w:r>
      <w:r w:rsidR="00CC67CC">
        <w:rPr>
          <w:rFonts w:ascii="Times New Roman" w:hAnsi="Times New Roman" w:cs="Times New Roman"/>
          <w:iCs/>
          <w:sz w:val="24"/>
          <w:szCs w:val="24"/>
          <w:lang w:val="en-US"/>
        </w:rPr>
        <w:t xml:space="preserve"> between members of a group</w:t>
      </w:r>
      <w:r w:rsidR="00756D58">
        <w:rPr>
          <w:rFonts w:ascii="Times New Roman" w:hAnsi="Times New Roman" w:cs="Times New Roman"/>
          <w:iCs/>
          <w:sz w:val="24"/>
          <w:szCs w:val="24"/>
          <w:lang w:val="en-US"/>
        </w:rPr>
        <w:t xml:space="preserve"> andaccordingly </w:t>
      </w:r>
      <w:r w:rsidRPr="004521C7">
        <w:rPr>
          <w:rFonts w:ascii="Times New Roman" w:hAnsi="Times New Roman" w:cs="Times New Roman"/>
          <w:iCs/>
          <w:sz w:val="24"/>
          <w:szCs w:val="24"/>
          <w:lang w:val="en-US"/>
        </w:rPr>
        <w:t>distinguis</w:t>
      </w:r>
      <w:r w:rsidR="00756D58">
        <w:rPr>
          <w:rFonts w:ascii="Times New Roman" w:hAnsi="Times New Roman" w:cs="Times New Roman"/>
          <w:iCs/>
          <w:sz w:val="24"/>
          <w:szCs w:val="24"/>
          <w:lang w:val="en-US"/>
        </w:rPr>
        <w:t>h</w:t>
      </w:r>
      <w:r w:rsidR="00CC67CC">
        <w:rPr>
          <w:rFonts w:ascii="Times New Roman" w:hAnsi="Times New Roman" w:cs="Times New Roman"/>
          <w:iCs/>
          <w:sz w:val="24"/>
          <w:szCs w:val="24"/>
          <w:lang w:val="en-US"/>
        </w:rPr>
        <w:t>ing</w:t>
      </w:r>
      <w:r w:rsidR="00756D58">
        <w:rPr>
          <w:rFonts w:ascii="Times New Roman" w:hAnsi="Times New Roman" w:cs="Times New Roman"/>
          <w:iCs/>
          <w:sz w:val="24"/>
          <w:szCs w:val="24"/>
          <w:lang w:val="en-US"/>
        </w:rPr>
        <w:t xml:space="preserve"> groups from one another. T</w:t>
      </w:r>
      <w:r w:rsidRPr="004521C7">
        <w:rPr>
          <w:rFonts w:ascii="Times New Roman" w:hAnsi="Times New Roman" w:cs="Times New Roman"/>
          <w:iCs/>
          <w:sz w:val="24"/>
          <w:szCs w:val="24"/>
          <w:lang w:val="en-US"/>
        </w:rPr>
        <w:t>hey are ultimately the link between persons’ shared sense of identity and belonging, and</w:t>
      </w:r>
      <w:r w:rsidR="00756D58">
        <w:rPr>
          <w:rFonts w:ascii="Times New Roman" w:hAnsi="Times New Roman" w:cs="Times New Roman"/>
          <w:iCs/>
          <w:sz w:val="24"/>
          <w:szCs w:val="24"/>
          <w:lang w:val="en-US"/>
        </w:rPr>
        <w:t>, in this context, they can include elements ranging from</w:t>
      </w:r>
      <w:r w:rsidRPr="004521C7">
        <w:rPr>
          <w:rFonts w:ascii="Times New Roman" w:hAnsi="Times New Roman" w:cs="Times New Roman"/>
          <w:iCs/>
          <w:sz w:val="24"/>
          <w:szCs w:val="24"/>
          <w:lang w:val="en-US"/>
        </w:rPr>
        <w:t xml:space="preserve"> nationality, ethni</w:t>
      </w:r>
      <w:r w:rsidR="00C34B5D" w:rsidRPr="004521C7">
        <w:rPr>
          <w:rFonts w:ascii="Times New Roman" w:hAnsi="Times New Roman" w:cs="Times New Roman"/>
          <w:iCs/>
          <w:sz w:val="24"/>
          <w:szCs w:val="24"/>
          <w:lang w:val="en-US"/>
        </w:rPr>
        <w:t>c origin, language, religion,</w:t>
      </w:r>
      <w:r w:rsidR="00756D58">
        <w:rPr>
          <w:rFonts w:ascii="Times New Roman" w:hAnsi="Times New Roman" w:cs="Times New Roman"/>
          <w:iCs/>
          <w:sz w:val="24"/>
          <w:szCs w:val="24"/>
          <w:lang w:val="en-US"/>
        </w:rPr>
        <w:t xml:space="preserve"> and race, tosexual orientation, gender, </w:t>
      </w:r>
      <w:r w:rsidRPr="004521C7">
        <w:rPr>
          <w:rFonts w:ascii="Times New Roman" w:hAnsi="Times New Roman" w:cs="Times New Roman"/>
          <w:iCs/>
          <w:sz w:val="24"/>
          <w:szCs w:val="24"/>
          <w:lang w:val="en-US"/>
        </w:rPr>
        <w:t xml:space="preserve">physical </w:t>
      </w:r>
      <w:r w:rsidR="00756D58">
        <w:rPr>
          <w:rFonts w:ascii="Times New Roman" w:hAnsi="Times New Roman" w:cs="Times New Roman"/>
          <w:iCs/>
          <w:sz w:val="24"/>
          <w:szCs w:val="24"/>
          <w:lang w:val="en-US"/>
        </w:rPr>
        <w:t>and/</w:t>
      </w:r>
      <w:r w:rsidRPr="004521C7">
        <w:rPr>
          <w:rFonts w:ascii="Times New Roman" w:hAnsi="Times New Roman" w:cs="Times New Roman"/>
          <w:iCs/>
          <w:sz w:val="24"/>
          <w:szCs w:val="24"/>
          <w:lang w:val="en-US"/>
        </w:rPr>
        <w:t>or mental disabilities</w:t>
      </w:r>
      <w:r w:rsidR="00BE7F99">
        <w:rPr>
          <w:rFonts w:ascii="Times New Roman" w:hAnsi="Times New Roman" w:cs="Times New Roman"/>
          <w:iCs/>
          <w:sz w:val="24"/>
          <w:szCs w:val="24"/>
          <w:lang w:val="en-US"/>
        </w:rPr>
        <w:t>.</w:t>
      </w:r>
      <w:r w:rsidR="00BE7F99">
        <w:rPr>
          <w:rStyle w:val="Lbjegyzet-hivatkozs"/>
          <w:rFonts w:ascii="Times New Roman" w:hAnsi="Times New Roman" w:cs="Times New Roman"/>
          <w:iCs/>
          <w:sz w:val="24"/>
          <w:szCs w:val="24"/>
          <w:lang w:val="en-US"/>
        </w:rPr>
        <w:footnoteReference w:id="10"/>
      </w:r>
    </w:p>
    <w:p w:rsidR="00270ADB" w:rsidRDefault="0079440B" w:rsidP="00270ADB">
      <w:pPr>
        <w:ind w:firstLine="720"/>
        <w:jc w:val="both"/>
        <w:rPr>
          <w:rFonts w:ascii="Times New Roman" w:hAnsi="Times New Roman" w:cs="Times New Roman"/>
          <w:iCs/>
          <w:sz w:val="24"/>
          <w:szCs w:val="24"/>
          <w:lang w:val="en-US"/>
        </w:rPr>
      </w:pPr>
      <w:r w:rsidRPr="004521C7">
        <w:rPr>
          <w:rFonts w:ascii="Times New Roman" w:hAnsi="Times New Roman" w:cs="Times New Roman"/>
          <w:iCs/>
          <w:sz w:val="24"/>
          <w:szCs w:val="24"/>
          <w:lang w:val="en-US"/>
        </w:rPr>
        <w:t>The list, of course, is not exhaustive</w:t>
      </w:r>
      <w:r w:rsidR="00BB635D">
        <w:rPr>
          <w:rFonts w:ascii="Times New Roman" w:hAnsi="Times New Roman" w:cs="Times New Roman"/>
          <w:iCs/>
          <w:sz w:val="24"/>
          <w:szCs w:val="24"/>
          <w:lang w:val="en-US"/>
        </w:rPr>
        <w:t>,</w:t>
      </w:r>
      <w:r w:rsidRPr="004521C7">
        <w:rPr>
          <w:rFonts w:ascii="Times New Roman" w:hAnsi="Times New Roman" w:cs="Times New Roman"/>
          <w:iCs/>
          <w:sz w:val="24"/>
          <w:szCs w:val="24"/>
          <w:lang w:val="en-US"/>
        </w:rPr>
        <w:t xml:space="preserve"> and</w:t>
      </w:r>
      <w:r w:rsidR="00BB635D">
        <w:rPr>
          <w:rFonts w:ascii="Times New Roman" w:hAnsi="Times New Roman" w:cs="Times New Roman"/>
          <w:iCs/>
          <w:sz w:val="24"/>
          <w:szCs w:val="24"/>
          <w:lang w:val="en-US"/>
        </w:rPr>
        <w:t xml:space="preserve"> it should be mentioned that, with respect to what constitutes a protected characteristic,</w:t>
      </w:r>
      <w:r w:rsidRPr="004521C7">
        <w:rPr>
          <w:rFonts w:ascii="Times New Roman" w:hAnsi="Times New Roman" w:cs="Times New Roman"/>
          <w:iCs/>
          <w:sz w:val="24"/>
          <w:szCs w:val="24"/>
          <w:lang w:val="en-US"/>
        </w:rPr>
        <w:t xml:space="preserve"> different provisions are</w:t>
      </w:r>
      <w:r w:rsidR="00BB635D">
        <w:rPr>
          <w:rFonts w:ascii="Times New Roman" w:hAnsi="Times New Roman" w:cs="Times New Roman"/>
          <w:iCs/>
          <w:sz w:val="24"/>
          <w:szCs w:val="24"/>
          <w:lang w:val="en-US"/>
        </w:rPr>
        <w:t xml:space="preserve"> and have been</w:t>
      </w:r>
      <w:r w:rsidRPr="004521C7">
        <w:rPr>
          <w:rFonts w:ascii="Times New Roman" w:hAnsi="Times New Roman" w:cs="Times New Roman"/>
          <w:iCs/>
          <w:sz w:val="24"/>
          <w:szCs w:val="24"/>
          <w:lang w:val="en-US"/>
        </w:rPr>
        <w:t xml:space="preserve"> adopted by different states</w:t>
      </w:r>
      <w:r w:rsidR="00B02D10" w:rsidRPr="004521C7">
        <w:rPr>
          <w:rFonts w:ascii="Times New Roman" w:hAnsi="Times New Roman" w:cs="Times New Roman"/>
          <w:iCs/>
          <w:sz w:val="24"/>
          <w:szCs w:val="24"/>
          <w:lang w:val="en-US"/>
        </w:rPr>
        <w:t>,</w:t>
      </w:r>
      <w:r w:rsidR="00BB635D">
        <w:rPr>
          <w:rFonts w:ascii="Times New Roman" w:hAnsi="Times New Roman" w:cs="Times New Roman"/>
          <w:iCs/>
          <w:sz w:val="24"/>
          <w:szCs w:val="24"/>
          <w:lang w:val="en-US"/>
        </w:rPr>
        <w:t xml:space="preserve"> and</w:t>
      </w:r>
      <w:r w:rsidRPr="004521C7">
        <w:rPr>
          <w:rFonts w:ascii="Times New Roman" w:hAnsi="Times New Roman" w:cs="Times New Roman"/>
          <w:iCs/>
          <w:sz w:val="24"/>
          <w:szCs w:val="24"/>
          <w:lang w:val="en-US"/>
        </w:rPr>
        <w:t>at different points in time</w:t>
      </w:r>
      <w:r w:rsidR="00B02D10" w:rsidRPr="004521C7">
        <w:rPr>
          <w:rFonts w:ascii="Times New Roman" w:hAnsi="Times New Roman" w:cs="Times New Roman"/>
          <w:iCs/>
          <w:sz w:val="24"/>
          <w:szCs w:val="24"/>
          <w:lang w:val="en-US"/>
        </w:rPr>
        <w:t>.</w:t>
      </w:r>
      <w:r w:rsidR="00CE3181" w:rsidRPr="004521C7">
        <w:rPr>
          <w:rFonts w:ascii="Times New Roman" w:hAnsi="Times New Roman" w:cs="Times New Roman"/>
          <w:iCs/>
          <w:sz w:val="24"/>
          <w:szCs w:val="24"/>
          <w:lang w:val="en-US"/>
        </w:rPr>
        <w:t xml:space="preserve"> Race </w:t>
      </w:r>
      <w:r w:rsidRPr="004521C7">
        <w:rPr>
          <w:rFonts w:ascii="Times New Roman" w:hAnsi="Times New Roman" w:cs="Times New Roman"/>
          <w:iCs/>
          <w:sz w:val="24"/>
          <w:szCs w:val="24"/>
          <w:lang w:val="en-US"/>
        </w:rPr>
        <w:t>and religion, for instance,</w:t>
      </w:r>
      <w:r w:rsidR="007E3DF7">
        <w:rPr>
          <w:rFonts w:ascii="Times New Roman" w:hAnsi="Times New Roman" w:cs="Times New Roman"/>
          <w:iCs/>
          <w:sz w:val="24"/>
          <w:szCs w:val="24"/>
          <w:lang w:val="en-US"/>
        </w:rPr>
        <w:t xml:space="preserve"> and as opposed to sexual o</w:t>
      </w:r>
      <w:r w:rsidR="00B16ABA">
        <w:rPr>
          <w:rFonts w:ascii="Times New Roman" w:hAnsi="Times New Roman" w:cs="Times New Roman"/>
          <w:iCs/>
          <w:sz w:val="24"/>
          <w:szCs w:val="24"/>
          <w:lang w:val="en-US"/>
        </w:rPr>
        <w:t>rientation or ideology</w:t>
      </w:r>
      <w:r w:rsidR="00242CDD">
        <w:rPr>
          <w:rFonts w:ascii="Times New Roman" w:hAnsi="Times New Roman" w:cs="Times New Roman"/>
          <w:iCs/>
          <w:sz w:val="24"/>
          <w:szCs w:val="24"/>
          <w:lang w:val="en-US"/>
        </w:rPr>
        <w:t xml:space="preserve"> –whose recognition as equally fundamental, to a person’s identity, characteristics, has been more recent– </w:t>
      </w:r>
      <w:r w:rsidR="00B16ABA">
        <w:rPr>
          <w:rFonts w:ascii="Times New Roman" w:hAnsi="Times New Roman" w:cs="Times New Roman"/>
          <w:iCs/>
          <w:sz w:val="24"/>
          <w:szCs w:val="24"/>
          <w:lang w:val="en-US"/>
        </w:rPr>
        <w:t xml:space="preserve">have </w:t>
      </w:r>
      <w:r w:rsidR="00CE3181" w:rsidRPr="004521C7">
        <w:rPr>
          <w:rFonts w:ascii="Times New Roman" w:hAnsi="Times New Roman" w:cs="Times New Roman"/>
          <w:iCs/>
          <w:sz w:val="24"/>
          <w:szCs w:val="24"/>
          <w:lang w:val="en-US"/>
        </w:rPr>
        <w:t xml:space="preserve">historically </w:t>
      </w:r>
      <w:r w:rsidRPr="004521C7">
        <w:rPr>
          <w:rFonts w:ascii="Times New Roman" w:hAnsi="Times New Roman" w:cs="Times New Roman"/>
          <w:iCs/>
          <w:sz w:val="24"/>
          <w:szCs w:val="24"/>
          <w:lang w:val="en-US"/>
        </w:rPr>
        <w:t>been more rapidly and widely accepted as defining of a person’s sense of the self, and</w:t>
      </w:r>
      <w:r w:rsidR="007E3DF7">
        <w:rPr>
          <w:rFonts w:ascii="Times New Roman" w:hAnsi="Times New Roman" w:cs="Times New Roman"/>
          <w:iCs/>
          <w:sz w:val="24"/>
          <w:szCs w:val="24"/>
          <w:lang w:val="en-US"/>
        </w:rPr>
        <w:t xml:space="preserve"> have</w:t>
      </w:r>
      <w:r w:rsidRPr="004521C7">
        <w:rPr>
          <w:rFonts w:ascii="Times New Roman" w:hAnsi="Times New Roman" w:cs="Times New Roman"/>
          <w:iCs/>
          <w:sz w:val="24"/>
          <w:szCs w:val="24"/>
          <w:lang w:val="en-US"/>
        </w:rPr>
        <w:t xml:space="preserve"> subsequently</w:t>
      </w:r>
      <w:r w:rsidR="007E3DF7">
        <w:rPr>
          <w:rFonts w:ascii="Times New Roman" w:hAnsi="Times New Roman" w:cs="Times New Roman"/>
          <w:iCs/>
          <w:sz w:val="24"/>
          <w:szCs w:val="24"/>
          <w:lang w:val="en-US"/>
        </w:rPr>
        <w:t xml:space="preserve"> been more rapidlyand widely </w:t>
      </w:r>
      <w:r w:rsidRPr="004521C7">
        <w:rPr>
          <w:rFonts w:ascii="Times New Roman" w:hAnsi="Times New Roman" w:cs="Times New Roman"/>
          <w:iCs/>
          <w:sz w:val="24"/>
          <w:szCs w:val="24"/>
          <w:lang w:val="en-US"/>
        </w:rPr>
        <w:t xml:space="preserve">adopted </w:t>
      </w:r>
      <w:r w:rsidR="007E3DF7">
        <w:rPr>
          <w:rFonts w:ascii="Times New Roman" w:hAnsi="Times New Roman" w:cs="Times New Roman"/>
          <w:iCs/>
          <w:sz w:val="24"/>
          <w:szCs w:val="24"/>
          <w:lang w:val="en-US"/>
        </w:rPr>
        <w:t>as characteristics protect</w:t>
      </w:r>
      <w:r w:rsidR="00835207">
        <w:rPr>
          <w:rFonts w:ascii="Times New Roman" w:hAnsi="Times New Roman" w:cs="Times New Roman"/>
          <w:iCs/>
          <w:sz w:val="24"/>
          <w:szCs w:val="24"/>
          <w:lang w:val="en-US"/>
        </w:rPr>
        <w:t>ed under hate crime legislation</w:t>
      </w:r>
      <w:r w:rsidR="00C34B5D" w:rsidRPr="004521C7">
        <w:rPr>
          <w:rFonts w:ascii="Times New Roman" w:hAnsi="Times New Roman" w:cs="Times New Roman"/>
          <w:iCs/>
          <w:sz w:val="24"/>
          <w:szCs w:val="24"/>
          <w:lang w:val="en-US"/>
        </w:rPr>
        <w:t>.</w:t>
      </w:r>
      <w:r w:rsidR="00835207">
        <w:rPr>
          <w:rStyle w:val="Lbjegyzet-hivatkozs"/>
          <w:rFonts w:ascii="Times New Roman" w:hAnsi="Times New Roman" w:cs="Times New Roman"/>
          <w:iCs/>
          <w:sz w:val="24"/>
          <w:szCs w:val="24"/>
          <w:lang w:val="en-US"/>
        </w:rPr>
        <w:footnoteReference w:id="11"/>
      </w:r>
      <w:r w:rsidR="00C34B5D" w:rsidRPr="004521C7">
        <w:rPr>
          <w:rFonts w:ascii="Times New Roman" w:hAnsi="Times New Roman" w:cs="Times New Roman"/>
          <w:iCs/>
          <w:sz w:val="24"/>
          <w:szCs w:val="24"/>
          <w:lang w:val="en-US"/>
        </w:rPr>
        <w:t>As to the “why”, re</w:t>
      </w:r>
      <w:r w:rsidR="0093607E">
        <w:rPr>
          <w:rFonts w:ascii="Times New Roman" w:hAnsi="Times New Roman" w:cs="Times New Roman"/>
          <w:iCs/>
          <w:sz w:val="24"/>
          <w:szCs w:val="24"/>
          <w:lang w:val="en-US"/>
        </w:rPr>
        <w:t xml:space="preserve">asons </w:t>
      </w:r>
      <w:r w:rsidR="004F5871" w:rsidRPr="004521C7">
        <w:rPr>
          <w:rFonts w:ascii="Times New Roman" w:hAnsi="Times New Roman" w:cs="Times New Roman"/>
          <w:iCs/>
          <w:sz w:val="24"/>
          <w:szCs w:val="24"/>
          <w:lang w:val="en-US"/>
        </w:rPr>
        <w:t xml:space="preserve">vary, but to a degree </w:t>
      </w:r>
      <w:r w:rsidR="00CE3181" w:rsidRPr="004521C7">
        <w:rPr>
          <w:rFonts w:ascii="Times New Roman" w:hAnsi="Times New Roman" w:cs="Times New Roman"/>
          <w:iCs/>
          <w:sz w:val="24"/>
          <w:szCs w:val="24"/>
          <w:lang w:val="en-US"/>
        </w:rPr>
        <w:t xml:space="preserve">they </w:t>
      </w:r>
      <w:r w:rsidR="004F5871" w:rsidRPr="004521C7">
        <w:rPr>
          <w:rFonts w:ascii="Times New Roman" w:hAnsi="Times New Roman" w:cs="Times New Roman"/>
          <w:iCs/>
          <w:sz w:val="24"/>
          <w:szCs w:val="24"/>
          <w:lang w:val="en-US"/>
        </w:rPr>
        <w:t>are all connected to the sociopolitical specificities and needs of states</w:t>
      </w:r>
      <w:r w:rsidR="00C421F9" w:rsidRPr="004521C7">
        <w:rPr>
          <w:rFonts w:ascii="Times New Roman" w:hAnsi="Times New Roman" w:cs="Times New Roman"/>
          <w:iCs/>
          <w:sz w:val="24"/>
          <w:szCs w:val="24"/>
          <w:lang w:val="en-US"/>
        </w:rPr>
        <w:t xml:space="preserve"> and societies, as these evolve through</w:t>
      </w:r>
      <w:r w:rsidR="00905661">
        <w:rPr>
          <w:rFonts w:ascii="Times New Roman" w:hAnsi="Times New Roman" w:cs="Times New Roman"/>
          <w:iCs/>
          <w:sz w:val="24"/>
          <w:szCs w:val="24"/>
          <w:lang w:val="en-US"/>
        </w:rPr>
        <w:t>out time</w:t>
      </w:r>
      <w:r w:rsidR="00C421F9" w:rsidRPr="004521C7">
        <w:rPr>
          <w:rFonts w:ascii="Times New Roman" w:hAnsi="Times New Roman" w:cs="Times New Roman"/>
          <w:iCs/>
          <w:sz w:val="24"/>
          <w:szCs w:val="24"/>
          <w:lang w:val="en-US"/>
        </w:rPr>
        <w:t xml:space="preserve">. </w:t>
      </w:r>
    </w:p>
    <w:p w:rsidR="00ED45CB" w:rsidRPr="004521C7" w:rsidRDefault="00C421F9" w:rsidP="00270ADB">
      <w:pPr>
        <w:ind w:firstLine="720"/>
        <w:jc w:val="both"/>
        <w:rPr>
          <w:rFonts w:ascii="Times New Roman" w:hAnsi="Times New Roman" w:cs="Times New Roman"/>
          <w:iCs/>
          <w:sz w:val="24"/>
          <w:szCs w:val="24"/>
          <w:lang w:val="en-US"/>
        </w:rPr>
      </w:pPr>
      <w:r w:rsidRPr="004521C7">
        <w:rPr>
          <w:rFonts w:ascii="Times New Roman" w:hAnsi="Times New Roman" w:cs="Times New Roman"/>
          <w:iCs/>
          <w:sz w:val="24"/>
          <w:szCs w:val="24"/>
          <w:lang w:val="en-US"/>
        </w:rPr>
        <w:t>F</w:t>
      </w:r>
      <w:r w:rsidR="00ED45CB" w:rsidRPr="004521C7">
        <w:rPr>
          <w:rFonts w:ascii="Times New Roman" w:hAnsi="Times New Roman" w:cs="Times New Roman"/>
          <w:iCs/>
          <w:sz w:val="24"/>
          <w:szCs w:val="24"/>
          <w:lang w:val="en-US"/>
        </w:rPr>
        <w:t xml:space="preserve">or </w:t>
      </w:r>
      <w:r w:rsidR="00D8066A" w:rsidRPr="004521C7">
        <w:rPr>
          <w:rFonts w:ascii="Times New Roman" w:hAnsi="Times New Roman" w:cs="Times New Roman"/>
          <w:iCs/>
          <w:sz w:val="24"/>
          <w:szCs w:val="24"/>
          <w:lang w:val="en-US"/>
        </w:rPr>
        <w:t>instance –</w:t>
      </w:r>
      <w:r w:rsidR="004F5871" w:rsidRPr="004521C7">
        <w:rPr>
          <w:rFonts w:ascii="Times New Roman" w:hAnsi="Times New Roman" w:cs="Times New Roman"/>
          <w:iCs/>
          <w:sz w:val="24"/>
          <w:szCs w:val="24"/>
          <w:lang w:val="en-US"/>
        </w:rPr>
        <w:t xml:space="preserve">and no less due to a history of colonialism, slavery, and the counter-movements that gradually led to </w:t>
      </w:r>
      <w:r w:rsidR="00D8066A" w:rsidRPr="004521C7">
        <w:rPr>
          <w:rFonts w:ascii="Times New Roman" w:hAnsi="Times New Roman" w:cs="Times New Roman"/>
          <w:iCs/>
          <w:sz w:val="24"/>
          <w:szCs w:val="24"/>
          <w:lang w:val="en-US"/>
        </w:rPr>
        <w:t>their abolition–</w:t>
      </w:r>
      <w:r w:rsidR="00ED45CB" w:rsidRPr="004521C7">
        <w:rPr>
          <w:rFonts w:ascii="Times New Roman" w:hAnsi="Times New Roman" w:cs="Times New Roman"/>
          <w:iCs/>
          <w:sz w:val="24"/>
          <w:szCs w:val="24"/>
          <w:lang w:val="en-US"/>
        </w:rPr>
        <w:t xml:space="preserve">the issue of racial segregation and discrimination became </w:t>
      </w:r>
      <w:r w:rsidR="00ED45CB" w:rsidRPr="004521C7">
        <w:rPr>
          <w:rFonts w:ascii="Times New Roman" w:hAnsi="Times New Roman" w:cs="Times New Roman"/>
          <w:iCs/>
          <w:sz w:val="24"/>
          <w:szCs w:val="24"/>
          <w:lang w:val="en-GB"/>
        </w:rPr>
        <w:t>a deplo</w:t>
      </w:r>
      <w:r w:rsidR="00CE3181" w:rsidRPr="004521C7">
        <w:rPr>
          <w:rFonts w:ascii="Times New Roman" w:hAnsi="Times New Roman" w:cs="Times New Roman"/>
          <w:iCs/>
          <w:sz w:val="24"/>
          <w:szCs w:val="24"/>
          <w:lang w:val="en-GB"/>
        </w:rPr>
        <w:t>rable aspect of social life</w:t>
      </w:r>
      <w:r w:rsidR="007761AA">
        <w:rPr>
          <w:rFonts w:ascii="Times New Roman" w:hAnsi="Times New Roman" w:cs="Times New Roman"/>
          <w:iCs/>
          <w:sz w:val="24"/>
          <w:szCs w:val="24"/>
          <w:lang w:val="en-GB"/>
        </w:rPr>
        <w:t xml:space="preserve"> far</w:t>
      </w:r>
      <w:r w:rsidR="00CE3181" w:rsidRPr="004521C7">
        <w:rPr>
          <w:rFonts w:ascii="Times New Roman" w:hAnsi="Times New Roman" w:cs="Times New Roman"/>
          <w:iCs/>
          <w:sz w:val="24"/>
          <w:szCs w:val="24"/>
          <w:lang w:val="en-GB"/>
        </w:rPr>
        <w:t xml:space="preserve"> earlier</w:t>
      </w:r>
      <w:r w:rsidR="00FA3173">
        <w:rPr>
          <w:rFonts w:ascii="Times New Roman" w:hAnsi="Times New Roman" w:cs="Times New Roman"/>
          <w:iCs/>
          <w:sz w:val="24"/>
          <w:szCs w:val="24"/>
          <w:lang w:val="en-GB"/>
        </w:rPr>
        <w:t xml:space="preserve"> than </w:t>
      </w:r>
      <w:r w:rsidR="004F5871" w:rsidRPr="004521C7">
        <w:rPr>
          <w:rFonts w:ascii="Times New Roman" w:hAnsi="Times New Roman" w:cs="Times New Roman"/>
          <w:iCs/>
          <w:sz w:val="24"/>
          <w:szCs w:val="24"/>
          <w:lang w:val="en-GB"/>
        </w:rPr>
        <w:t xml:space="preserve">that of discrimination on </w:t>
      </w:r>
      <w:r w:rsidR="007761AA">
        <w:rPr>
          <w:rFonts w:ascii="Times New Roman" w:hAnsi="Times New Roman" w:cs="Times New Roman"/>
          <w:iCs/>
          <w:sz w:val="24"/>
          <w:szCs w:val="24"/>
          <w:lang w:val="en-GB"/>
        </w:rPr>
        <w:t>the basis of</w:t>
      </w:r>
      <w:r w:rsidR="00270ADB">
        <w:rPr>
          <w:rFonts w:ascii="Times New Roman" w:hAnsi="Times New Roman" w:cs="Times New Roman"/>
          <w:iCs/>
          <w:sz w:val="24"/>
          <w:szCs w:val="24"/>
          <w:lang w:val="en-GB"/>
        </w:rPr>
        <w:t xml:space="preserve"> sexual orientation. The latter</w:t>
      </w:r>
      <w:r w:rsidR="007761AA">
        <w:rPr>
          <w:rFonts w:ascii="Times New Roman" w:hAnsi="Times New Roman" w:cs="Times New Roman"/>
          <w:iCs/>
          <w:sz w:val="24"/>
          <w:szCs w:val="24"/>
          <w:lang w:val="en-GB"/>
        </w:rPr>
        <w:t xml:space="preserve"> effectively </w:t>
      </w:r>
      <w:r w:rsidR="00D8066A" w:rsidRPr="004521C7">
        <w:rPr>
          <w:rFonts w:ascii="Times New Roman" w:hAnsi="Times New Roman" w:cs="Times New Roman"/>
          <w:iCs/>
          <w:sz w:val="24"/>
          <w:szCs w:val="24"/>
          <w:lang w:val="en-GB"/>
        </w:rPr>
        <w:t xml:space="preserve">took force </w:t>
      </w:r>
      <w:r w:rsidR="004F5871" w:rsidRPr="004521C7">
        <w:rPr>
          <w:rFonts w:ascii="Times New Roman" w:hAnsi="Times New Roman" w:cs="Times New Roman"/>
          <w:iCs/>
          <w:sz w:val="24"/>
          <w:szCs w:val="24"/>
          <w:lang w:val="en-GB"/>
        </w:rPr>
        <w:t>throughout the 19</w:t>
      </w:r>
      <w:r w:rsidR="00D8066A" w:rsidRPr="004521C7">
        <w:rPr>
          <w:rFonts w:ascii="Times New Roman" w:hAnsi="Times New Roman" w:cs="Times New Roman"/>
          <w:iCs/>
          <w:sz w:val="24"/>
          <w:szCs w:val="24"/>
          <w:lang w:val="en-GB"/>
        </w:rPr>
        <w:t>70s,</w:t>
      </w:r>
      <w:r w:rsidR="001237B1">
        <w:rPr>
          <w:rFonts w:ascii="Times New Roman" w:hAnsi="Times New Roman" w:cs="Times New Roman"/>
          <w:iCs/>
          <w:sz w:val="24"/>
          <w:szCs w:val="24"/>
          <w:lang w:val="en-GB"/>
        </w:rPr>
        <w:t>following</w:t>
      </w:r>
      <w:r w:rsidR="007761AA">
        <w:rPr>
          <w:rFonts w:ascii="Times New Roman" w:hAnsi="Times New Roman" w:cs="Times New Roman"/>
          <w:iCs/>
          <w:sz w:val="24"/>
          <w:szCs w:val="24"/>
          <w:lang w:val="en-GB"/>
        </w:rPr>
        <w:t xml:space="preserve"> mass movements for the respect of gay and lesbian rights,</w:t>
      </w:r>
      <w:r w:rsidR="00D8066A" w:rsidRPr="004521C7">
        <w:rPr>
          <w:rFonts w:ascii="Times New Roman" w:hAnsi="Times New Roman" w:cs="Times New Roman"/>
          <w:iCs/>
          <w:sz w:val="24"/>
          <w:szCs w:val="24"/>
          <w:lang w:val="en-GB"/>
        </w:rPr>
        <w:t xml:space="preserve"> as opposed to the former</w:t>
      </w:r>
      <w:r w:rsidR="00C34B5D" w:rsidRPr="004521C7">
        <w:rPr>
          <w:rFonts w:ascii="Times New Roman" w:hAnsi="Times New Roman" w:cs="Times New Roman"/>
          <w:iCs/>
          <w:sz w:val="24"/>
          <w:szCs w:val="24"/>
          <w:lang w:val="en-GB"/>
        </w:rPr>
        <w:t>,</w:t>
      </w:r>
      <w:r w:rsidR="00D8066A" w:rsidRPr="004521C7">
        <w:rPr>
          <w:rFonts w:ascii="Times New Roman" w:hAnsi="Times New Roman" w:cs="Times New Roman"/>
          <w:iCs/>
          <w:sz w:val="24"/>
          <w:szCs w:val="24"/>
          <w:lang w:val="en-GB"/>
        </w:rPr>
        <w:t xml:space="preserve"> whose legal roots can be traced as far back as the 19</w:t>
      </w:r>
      <w:r w:rsidR="00D8066A" w:rsidRPr="004521C7">
        <w:rPr>
          <w:rFonts w:ascii="Times New Roman" w:hAnsi="Times New Roman" w:cs="Times New Roman"/>
          <w:iCs/>
          <w:sz w:val="24"/>
          <w:szCs w:val="24"/>
          <w:vertAlign w:val="superscript"/>
          <w:lang w:val="en-GB"/>
        </w:rPr>
        <w:t>th</w:t>
      </w:r>
      <w:r w:rsidR="00D8066A" w:rsidRPr="004521C7">
        <w:rPr>
          <w:rFonts w:ascii="Times New Roman" w:hAnsi="Times New Roman" w:cs="Times New Roman"/>
          <w:iCs/>
          <w:sz w:val="24"/>
          <w:szCs w:val="24"/>
          <w:lang w:val="en-GB"/>
        </w:rPr>
        <w:t xml:space="preserve"> century</w:t>
      </w:r>
      <w:r w:rsidR="001237B1">
        <w:rPr>
          <w:rFonts w:ascii="Times New Roman" w:hAnsi="Times New Roman" w:cs="Times New Roman"/>
          <w:iCs/>
          <w:sz w:val="24"/>
          <w:szCs w:val="24"/>
          <w:lang w:val="en-GB"/>
        </w:rPr>
        <w:t xml:space="preserve"> in the post-Civil War United States</w:t>
      </w:r>
      <w:r w:rsidR="00D8066A" w:rsidRPr="004521C7">
        <w:rPr>
          <w:rFonts w:ascii="Times New Roman" w:hAnsi="Times New Roman" w:cs="Times New Roman"/>
          <w:iCs/>
          <w:sz w:val="24"/>
          <w:szCs w:val="24"/>
          <w:lang w:val="en-GB"/>
        </w:rPr>
        <w:t>.</w:t>
      </w:r>
      <w:r w:rsidR="00835207">
        <w:rPr>
          <w:rStyle w:val="Lbjegyzet-hivatkozs"/>
          <w:rFonts w:ascii="Times New Roman" w:hAnsi="Times New Roman" w:cs="Times New Roman"/>
          <w:iCs/>
          <w:sz w:val="24"/>
          <w:szCs w:val="24"/>
          <w:lang w:val="en-GB"/>
        </w:rPr>
        <w:footnoteReference w:id="12"/>
      </w:r>
    </w:p>
    <w:p w:rsidR="0079440B" w:rsidRPr="00DD0741" w:rsidRDefault="00FC2186" w:rsidP="00874565">
      <w:pPr>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Another </w:t>
      </w:r>
      <w:r w:rsidR="001846E0" w:rsidRPr="004521C7">
        <w:rPr>
          <w:rFonts w:ascii="Times New Roman" w:hAnsi="Times New Roman" w:cs="Times New Roman"/>
          <w:iCs/>
          <w:sz w:val="24"/>
          <w:szCs w:val="24"/>
          <w:lang w:val="en-US"/>
        </w:rPr>
        <w:t xml:space="preserve">reason </w:t>
      </w:r>
      <w:r w:rsidR="00712FA6">
        <w:rPr>
          <w:rFonts w:ascii="Times New Roman" w:hAnsi="Times New Roman" w:cs="Times New Roman"/>
          <w:iCs/>
          <w:sz w:val="24"/>
          <w:szCs w:val="24"/>
          <w:lang w:val="en-US"/>
        </w:rPr>
        <w:t>pertains to</w:t>
      </w:r>
      <w:r w:rsidR="00C34B5D" w:rsidRPr="004521C7">
        <w:rPr>
          <w:rFonts w:ascii="Times New Roman" w:hAnsi="Times New Roman" w:cs="Times New Roman"/>
          <w:iCs/>
          <w:sz w:val="24"/>
          <w:szCs w:val="24"/>
          <w:lang w:val="en-US"/>
        </w:rPr>
        <w:t xml:space="preserve"> each state’s legal </w:t>
      </w:r>
      <w:r w:rsidR="00712FA6">
        <w:rPr>
          <w:rFonts w:ascii="Times New Roman" w:hAnsi="Times New Roman" w:cs="Times New Roman"/>
          <w:iCs/>
          <w:sz w:val="24"/>
          <w:szCs w:val="24"/>
          <w:lang w:val="en-US"/>
        </w:rPr>
        <w:t>system and, specifically, the choice between</w:t>
      </w:r>
      <w:r w:rsidR="00B452BA">
        <w:rPr>
          <w:rFonts w:ascii="Times New Roman" w:hAnsi="Times New Roman" w:cs="Times New Roman"/>
          <w:iCs/>
          <w:sz w:val="24"/>
          <w:szCs w:val="24"/>
          <w:lang w:val="en-US"/>
        </w:rPr>
        <w:t xml:space="preserve"> adopting</w:t>
      </w:r>
      <w:r w:rsidR="00C176DE">
        <w:rPr>
          <w:rFonts w:ascii="Times New Roman" w:hAnsi="Times New Roman" w:cs="Times New Roman"/>
          <w:iCs/>
          <w:sz w:val="24"/>
          <w:szCs w:val="24"/>
          <w:lang w:val="en-US"/>
        </w:rPr>
        <w:t xml:space="preserve">open-ended </w:t>
      </w:r>
      <w:r w:rsidR="00712FA6">
        <w:rPr>
          <w:rFonts w:ascii="Times New Roman" w:hAnsi="Times New Roman" w:cs="Times New Roman"/>
          <w:iCs/>
          <w:sz w:val="24"/>
          <w:szCs w:val="24"/>
          <w:lang w:val="en-US"/>
        </w:rPr>
        <w:t>or exhaustive lists of protected characteristics</w:t>
      </w:r>
      <w:r w:rsidR="0079440B" w:rsidRPr="004521C7">
        <w:rPr>
          <w:rFonts w:ascii="Times New Roman" w:hAnsi="Times New Roman" w:cs="Times New Roman"/>
          <w:iCs/>
          <w:sz w:val="24"/>
          <w:szCs w:val="24"/>
          <w:lang w:val="en-US"/>
        </w:rPr>
        <w:t xml:space="preserve">. The first, </w:t>
      </w:r>
      <w:r w:rsidR="00C34B5D" w:rsidRPr="004521C7">
        <w:rPr>
          <w:rFonts w:ascii="Times New Roman" w:hAnsi="Times New Roman" w:cs="Times New Roman"/>
          <w:iCs/>
          <w:sz w:val="24"/>
          <w:szCs w:val="24"/>
          <w:lang w:val="en-US"/>
        </w:rPr>
        <w:t xml:space="preserve">though </w:t>
      </w:r>
      <w:r w:rsidR="00AB07DE">
        <w:rPr>
          <w:rFonts w:ascii="Times New Roman" w:hAnsi="Times New Roman" w:cs="Times New Roman"/>
          <w:iCs/>
          <w:sz w:val="24"/>
          <w:szCs w:val="24"/>
          <w:lang w:val="en-US"/>
        </w:rPr>
        <w:t>allowing for</w:t>
      </w:r>
      <w:r w:rsidR="000415E8" w:rsidRPr="004521C7">
        <w:rPr>
          <w:rFonts w:ascii="Times New Roman" w:hAnsi="Times New Roman" w:cs="Times New Roman"/>
          <w:iCs/>
          <w:sz w:val="24"/>
          <w:szCs w:val="24"/>
          <w:lang w:val="en-US"/>
        </w:rPr>
        <w:t xml:space="preserve"> a</w:t>
      </w:r>
      <w:r w:rsidR="00AB07DE">
        <w:rPr>
          <w:rFonts w:ascii="Times New Roman" w:hAnsi="Times New Roman" w:cs="Times New Roman"/>
          <w:iCs/>
          <w:sz w:val="24"/>
          <w:szCs w:val="24"/>
          <w:lang w:val="en-US"/>
        </w:rPr>
        <w:t xml:space="preserve"> relative</w:t>
      </w:r>
      <w:r w:rsidR="000415E8" w:rsidRPr="004521C7">
        <w:rPr>
          <w:rFonts w:ascii="Times New Roman" w:hAnsi="Times New Roman" w:cs="Times New Roman"/>
          <w:iCs/>
          <w:sz w:val="24"/>
          <w:szCs w:val="24"/>
          <w:lang w:val="en-US"/>
        </w:rPr>
        <w:t xml:space="preserve"> freedom of interpretation that can facilitate </w:t>
      </w:r>
      <w:r w:rsidR="000415E8" w:rsidRPr="004521C7">
        <w:rPr>
          <w:rFonts w:ascii="Times New Roman" w:hAnsi="Times New Roman" w:cs="Times New Roman"/>
          <w:iCs/>
          <w:sz w:val="24"/>
          <w:szCs w:val="24"/>
          <w:lang w:val="en-US"/>
        </w:rPr>
        <w:lastRenderedPageBreak/>
        <w:t xml:space="preserve">the </w:t>
      </w:r>
      <w:r w:rsidR="00DD0741">
        <w:rPr>
          <w:rFonts w:ascii="Times New Roman" w:hAnsi="Times New Roman" w:cs="Times New Roman"/>
          <w:iCs/>
          <w:sz w:val="24"/>
          <w:szCs w:val="24"/>
          <w:lang w:val="en-US"/>
        </w:rPr>
        <w:t xml:space="preserve">legal recognition </w:t>
      </w:r>
      <w:r w:rsidR="00AB07DE">
        <w:rPr>
          <w:rFonts w:ascii="Times New Roman" w:hAnsi="Times New Roman" w:cs="Times New Roman"/>
          <w:iCs/>
          <w:sz w:val="24"/>
          <w:szCs w:val="24"/>
          <w:lang w:val="en-US"/>
        </w:rPr>
        <w:t>of protected characteristics as per</w:t>
      </w:r>
      <w:r w:rsidR="000415E8" w:rsidRPr="004521C7">
        <w:rPr>
          <w:rFonts w:ascii="Times New Roman" w:hAnsi="Times New Roman" w:cs="Times New Roman"/>
          <w:iCs/>
          <w:sz w:val="24"/>
          <w:szCs w:val="24"/>
          <w:lang w:val="en-US"/>
        </w:rPr>
        <w:t xml:space="preserve"> evolving social norms, </w:t>
      </w:r>
      <w:r w:rsidR="0079440B" w:rsidRPr="004521C7">
        <w:rPr>
          <w:rFonts w:ascii="Times New Roman" w:hAnsi="Times New Roman" w:cs="Times New Roman"/>
          <w:iCs/>
          <w:sz w:val="24"/>
          <w:szCs w:val="24"/>
          <w:lang w:val="en-US"/>
        </w:rPr>
        <w:t>tend to provide too vague a basis upon which protected characteristics can be interpreted, thus risking eroding the essence of a hate crime by virtually creating the potential of every crime being int</w:t>
      </w:r>
      <w:r w:rsidR="00C34B5D" w:rsidRPr="004521C7">
        <w:rPr>
          <w:rFonts w:ascii="Times New Roman" w:hAnsi="Times New Roman" w:cs="Times New Roman"/>
          <w:iCs/>
          <w:sz w:val="24"/>
          <w:szCs w:val="24"/>
          <w:lang w:val="en-US"/>
        </w:rPr>
        <w:t>erpreted under this rubric. Th</w:t>
      </w:r>
      <w:r w:rsidR="0079440B" w:rsidRPr="004521C7">
        <w:rPr>
          <w:rFonts w:ascii="Times New Roman" w:hAnsi="Times New Roman" w:cs="Times New Roman"/>
          <w:iCs/>
          <w:sz w:val="24"/>
          <w:szCs w:val="24"/>
          <w:lang w:val="en-US"/>
        </w:rPr>
        <w:t>e second</w:t>
      </w:r>
      <w:r w:rsidR="00346952">
        <w:rPr>
          <w:rFonts w:ascii="Times New Roman" w:hAnsi="Times New Roman" w:cs="Times New Roman"/>
          <w:iCs/>
          <w:sz w:val="24"/>
          <w:szCs w:val="24"/>
          <w:lang w:val="en-US"/>
        </w:rPr>
        <w:t xml:space="preserve">, on the other hand, </w:t>
      </w:r>
      <w:r w:rsidR="00C34B5D" w:rsidRPr="004521C7">
        <w:rPr>
          <w:rFonts w:ascii="Times New Roman" w:hAnsi="Times New Roman" w:cs="Times New Roman"/>
          <w:iCs/>
          <w:sz w:val="24"/>
          <w:szCs w:val="24"/>
          <w:lang w:val="en-US"/>
        </w:rPr>
        <w:t xml:space="preserve">though </w:t>
      </w:r>
      <w:r w:rsidR="00874565">
        <w:rPr>
          <w:rFonts w:ascii="Times New Roman" w:hAnsi="Times New Roman" w:cs="Times New Roman"/>
          <w:iCs/>
          <w:sz w:val="24"/>
          <w:szCs w:val="24"/>
          <w:lang w:val="en-US"/>
        </w:rPr>
        <w:t>serving to establish</w:t>
      </w:r>
      <w:r w:rsidR="00C34B5D" w:rsidRPr="004521C7">
        <w:rPr>
          <w:rFonts w:ascii="Times New Roman" w:hAnsi="Times New Roman" w:cs="Times New Roman"/>
          <w:iCs/>
          <w:sz w:val="24"/>
          <w:szCs w:val="24"/>
          <w:lang w:val="en-US"/>
        </w:rPr>
        <w:t xml:space="preserve"> a legal certainty for both l</w:t>
      </w:r>
      <w:r w:rsidR="00874565">
        <w:rPr>
          <w:rFonts w:ascii="Times New Roman" w:hAnsi="Times New Roman" w:cs="Times New Roman"/>
          <w:iCs/>
          <w:sz w:val="24"/>
          <w:szCs w:val="24"/>
          <w:lang w:val="en-US"/>
        </w:rPr>
        <w:t>egal practitioners and citizens</w:t>
      </w:r>
      <w:r w:rsidR="00C34B5D" w:rsidRPr="004521C7">
        <w:rPr>
          <w:rFonts w:ascii="Times New Roman" w:hAnsi="Times New Roman" w:cs="Times New Roman"/>
          <w:iCs/>
          <w:sz w:val="24"/>
          <w:szCs w:val="24"/>
          <w:lang w:val="en-US"/>
        </w:rPr>
        <w:t xml:space="preserve"> as to the characteristics that are</w:t>
      </w:r>
      <w:r w:rsidR="000415E8" w:rsidRPr="004521C7">
        <w:rPr>
          <w:rFonts w:ascii="Times New Roman" w:hAnsi="Times New Roman" w:cs="Times New Roman"/>
          <w:iCs/>
          <w:sz w:val="24"/>
          <w:szCs w:val="24"/>
          <w:lang w:val="en-US"/>
        </w:rPr>
        <w:t xml:space="preserve"> ultimately</w:t>
      </w:r>
      <w:r w:rsidR="00DD0741">
        <w:rPr>
          <w:rFonts w:ascii="Times New Roman" w:hAnsi="Times New Roman" w:cs="Times New Roman"/>
          <w:iCs/>
          <w:sz w:val="24"/>
          <w:szCs w:val="24"/>
          <w:lang w:val="en-US"/>
        </w:rPr>
        <w:t xml:space="preserve"> protected, make it harder to keep up to evolving historical conditions, as they tend to </w:t>
      </w:r>
      <w:r w:rsidR="00C34B5D" w:rsidRPr="004521C7">
        <w:rPr>
          <w:rFonts w:ascii="Times New Roman" w:hAnsi="Times New Roman" w:cs="Times New Roman"/>
          <w:iCs/>
          <w:sz w:val="24"/>
          <w:szCs w:val="24"/>
          <w:lang w:val="en-US"/>
        </w:rPr>
        <w:t xml:space="preserve">create </w:t>
      </w:r>
      <w:r w:rsidR="0079440B" w:rsidRPr="004521C7">
        <w:rPr>
          <w:rFonts w:ascii="Times New Roman" w:hAnsi="Times New Roman" w:cs="Times New Roman"/>
          <w:iCs/>
          <w:sz w:val="24"/>
          <w:szCs w:val="24"/>
          <w:lang w:val="en-US"/>
        </w:rPr>
        <w:t>a type of legal rigidity that is diffic</w:t>
      </w:r>
      <w:r w:rsidR="00DD0741">
        <w:rPr>
          <w:rFonts w:ascii="Times New Roman" w:hAnsi="Times New Roman" w:cs="Times New Roman"/>
          <w:iCs/>
          <w:sz w:val="24"/>
          <w:szCs w:val="24"/>
          <w:lang w:val="en-US"/>
        </w:rPr>
        <w:t>ult to overcome.</w:t>
      </w:r>
      <w:r w:rsidR="00950831">
        <w:rPr>
          <w:rStyle w:val="Lbjegyzet-hivatkozs"/>
          <w:rFonts w:ascii="Times New Roman" w:hAnsi="Times New Roman" w:cs="Times New Roman"/>
          <w:iCs/>
          <w:sz w:val="24"/>
          <w:szCs w:val="24"/>
          <w:lang w:val="en-US"/>
        </w:rPr>
        <w:footnoteReference w:id="13"/>
      </w:r>
    </w:p>
    <w:p w:rsidR="0079440B" w:rsidRPr="00240D85" w:rsidRDefault="00D44469" w:rsidP="00346952">
      <w:pPr>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That being said</w:t>
      </w:r>
      <w:r w:rsidR="00A4119A" w:rsidRPr="004521C7">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and</w:t>
      </w:r>
      <w:r w:rsidR="00A4119A" w:rsidRPr="004521C7">
        <w:rPr>
          <w:rFonts w:ascii="Times New Roman" w:hAnsi="Times New Roman" w:cs="Times New Roman"/>
          <w:iCs/>
          <w:sz w:val="24"/>
          <w:szCs w:val="24"/>
          <w:lang w:val="en-US"/>
        </w:rPr>
        <w:t xml:space="preserve"> f</w:t>
      </w:r>
      <w:r w:rsidR="00063C42" w:rsidRPr="004521C7">
        <w:rPr>
          <w:rFonts w:ascii="Times New Roman" w:hAnsi="Times New Roman" w:cs="Times New Roman"/>
          <w:iCs/>
          <w:sz w:val="24"/>
          <w:szCs w:val="24"/>
          <w:lang w:val="en-US"/>
        </w:rPr>
        <w:t xml:space="preserve">ar from it being the </w:t>
      </w:r>
      <w:r w:rsidR="00A4119A" w:rsidRPr="004521C7">
        <w:rPr>
          <w:rFonts w:ascii="Times New Roman" w:hAnsi="Times New Roman" w:cs="Times New Roman"/>
          <w:iCs/>
          <w:sz w:val="24"/>
          <w:szCs w:val="24"/>
          <w:lang w:val="en-US"/>
        </w:rPr>
        <w:t>aim of</w:t>
      </w:r>
      <w:r w:rsidR="00063C42" w:rsidRPr="004521C7">
        <w:rPr>
          <w:rFonts w:ascii="Times New Roman" w:hAnsi="Times New Roman" w:cs="Times New Roman"/>
          <w:iCs/>
          <w:sz w:val="24"/>
          <w:szCs w:val="24"/>
          <w:lang w:val="en-US"/>
        </w:rPr>
        <w:t xml:space="preserve"> this module</w:t>
      </w:r>
      <w:r w:rsidR="00A217FD" w:rsidRPr="004521C7">
        <w:rPr>
          <w:rFonts w:ascii="Times New Roman" w:hAnsi="Times New Roman" w:cs="Times New Roman"/>
          <w:iCs/>
          <w:sz w:val="24"/>
          <w:szCs w:val="24"/>
          <w:lang w:val="en-US"/>
        </w:rPr>
        <w:t>to res</w:t>
      </w:r>
      <w:r w:rsidR="00A4119A" w:rsidRPr="004521C7">
        <w:rPr>
          <w:rFonts w:ascii="Times New Roman" w:hAnsi="Times New Roman" w:cs="Times New Roman"/>
          <w:iCs/>
          <w:sz w:val="24"/>
          <w:szCs w:val="24"/>
          <w:lang w:val="en-US"/>
        </w:rPr>
        <w:t>olve the differences</w:t>
      </w:r>
      <w:r>
        <w:rPr>
          <w:rFonts w:ascii="Times New Roman" w:hAnsi="Times New Roman" w:cs="Times New Roman"/>
          <w:iCs/>
          <w:sz w:val="24"/>
          <w:szCs w:val="24"/>
          <w:lang w:val="en-US"/>
        </w:rPr>
        <w:t xml:space="preserve"> characteristic of each state</w:t>
      </w:r>
      <w:r w:rsidR="00A31483">
        <w:rPr>
          <w:rFonts w:ascii="Times New Roman" w:hAnsi="Times New Roman" w:cs="Times New Roman"/>
          <w:iCs/>
          <w:sz w:val="24"/>
          <w:szCs w:val="24"/>
          <w:lang w:val="en-US"/>
        </w:rPr>
        <w:t>’s</w:t>
      </w:r>
      <w:r>
        <w:rPr>
          <w:rFonts w:ascii="Times New Roman" w:hAnsi="Times New Roman" w:cs="Times New Roman"/>
          <w:iCs/>
          <w:sz w:val="24"/>
          <w:szCs w:val="24"/>
          <w:lang w:val="en-US"/>
        </w:rPr>
        <w:t xml:space="preserve"> legal system</w:t>
      </w:r>
      <w:r w:rsidR="00A4119A" w:rsidRPr="004521C7">
        <w:rPr>
          <w:rFonts w:ascii="Times New Roman" w:hAnsi="Times New Roman" w:cs="Times New Roman"/>
          <w:iCs/>
          <w:sz w:val="24"/>
          <w:szCs w:val="24"/>
          <w:lang w:val="en-US"/>
        </w:rPr>
        <w:t>, thecrucial issue to remember</w:t>
      </w:r>
      <w:r w:rsidR="0079440B" w:rsidRPr="004521C7">
        <w:rPr>
          <w:rFonts w:ascii="Times New Roman" w:hAnsi="Times New Roman" w:cs="Times New Roman"/>
          <w:iCs/>
          <w:sz w:val="24"/>
          <w:szCs w:val="24"/>
          <w:lang w:val="en-US"/>
        </w:rPr>
        <w:t xml:space="preserve"> is that</w:t>
      </w:r>
      <w:r w:rsidR="00A4119A" w:rsidRPr="004521C7">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aside from </w:t>
      </w:r>
      <w:r w:rsidR="00A31483">
        <w:rPr>
          <w:rFonts w:ascii="Times New Roman" w:hAnsi="Times New Roman" w:cs="Times New Roman"/>
          <w:iCs/>
          <w:sz w:val="24"/>
          <w:szCs w:val="24"/>
          <w:lang w:val="en-US"/>
        </w:rPr>
        <w:t>the</w:t>
      </w:r>
      <w:r w:rsidR="00346952">
        <w:rPr>
          <w:rFonts w:ascii="Times New Roman" w:hAnsi="Times New Roman" w:cs="Times New Roman"/>
          <w:iCs/>
          <w:sz w:val="24"/>
          <w:szCs w:val="24"/>
          <w:lang w:val="en-US"/>
        </w:rPr>
        <w:t>ir</w:t>
      </w:r>
      <w:r w:rsidR="00A31483">
        <w:rPr>
          <w:rFonts w:ascii="Times New Roman" w:hAnsi="Times New Roman" w:cs="Times New Roman"/>
          <w:iCs/>
          <w:sz w:val="24"/>
          <w:szCs w:val="24"/>
          <w:lang w:val="en-US"/>
        </w:rPr>
        <w:t xml:space="preserve"> being</w:t>
      </w:r>
      <w:r w:rsidR="0079440B" w:rsidRPr="004521C7">
        <w:rPr>
          <w:rFonts w:ascii="Times New Roman" w:hAnsi="Times New Roman" w:cs="Times New Roman"/>
          <w:iCs/>
          <w:sz w:val="24"/>
          <w:szCs w:val="24"/>
          <w:lang w:val="en-US"/>
        </w:rPr>
        <w:t xml:space="preserve"> fundamental aspects of a person’s identity</w:t>
      </w:r>
      <w:r w:rsidR="00A31483">
        <w:rPr>
          <w:rFonts w:ascii="Times New Roman" w:hAnsi="Times New Roman" w:cs="Times New Roman"/>
          <w:iCs/>
          <w:sz w:val="24"/>
          <w:szCs w:val="24"/>
          <w:lang w:val="en-US"/>
        </w:rPr>
        <w:t xml:space="preserve">, protected characteristics </w:t>
      </w:r>
      <w:r w:rsidR="0079440B" w:rsidRPr="004521C7">
        <w:rPr>
          <w:rFonts w:ascii="Times New Roman" w:hAnsi="Times New Roman" w:cs="Times New Roman"/>
          <w:iCs/>
          <w:sz w:val="24"/>
          <w:szCs w:val="24"/>
          <w:lang w:val="en-US"/>
        </w:rPr>
        <w:t>simultaneously</w:t>
      </w:r>
      <w:r w:rsidR="00A31483">
        <w:rPr>
          <w:rFonts w:ascii="Times New Roman" w:hAnsi="Times New Roman" w:cs="Times New Roman"/>
          <w:iCs/>
          <w:sz w:val="24"/>
          <w:szCs w:val="24"/>
          <w:lang w:val="en-US"/>
        </w:rPr>
        <w:t xml:space="preserve"> function as</w:t>
      </w:r>
      <w:r w:rsidR="0079440B" w:rsidRPr="004521C7">
        <w:rPr>
          <w:rFonts w:ascii="Times New Roman" w:hAnsi="Times New Roman" w:cs="Times New Roman"/>
          <w:iCs/>
          <w:sz w:val="24"/>
          <w:szCs w:val="24"/>
          <w:lang w:val="en-US"/>
        </w:rPr>
        <w:t xml:space="preserve"> ‘</w:t>
      </w:r>
      <w:r w:rsidR="0079440B" w:rsidRPr="004521C7">
        <w:rPr>
          <w:rFonts w:ascii="Times New Roman" w:hAnsi="Times New Roman" w:cs="Times New Roman"/>
          <w:i/>
          <w:iCs/>
          <w:sz w:val="24"/>
          <w:szCs w:val="24"/>
          <w:lang w:val="en-US"/>
        </w:rPr>
        <w:t>marker[s] of group identity</w:t>
      </w:r>
      <w:r w:rsidR="0079440B" w:rsidRPr="004521C7">
        <w:rPr>
          <w:rFonts w:ascii="Times New Roman" w:hAnsi="Times New Roman" w:cs="Times New Roman"/>
          <w:iCs/>
          <w:sz w:val="24"/>
          <w:szCs w:val="24"/>
          <w:lang w:val="en-US"/>
        </w:rPr>
        <w:t>.</w:t>
      </w:r>
      <w:r w:rsidR="00950831">
        <w:rPr>
          <w:rFonts w:ascii="Times New Roman" w:hAnsi="Times New Roman" w:cs="Times New Roman"/>
          <w:iCs/>
          <w:sz w:val="24"/>
          <w:szCs w:val="24"/>
          <w:lang w:val="en-US"/>
        </w:rPr>
        <w:t>’</w:t>
      </w:r>
      <w:r w:rsidR="00950831">
        <w:rPr>
          <w:rStyle w:val="Lbjegyzet-hivatkozs"/>
          <w:rFonts w:ascii="Times New Roman" w:hAnsi="Times New Roman" w:cs="Times New Roman"/>
          <w:iCs/>
          <w:sz w:val="24"/>
          <w:szCs w:val="24"/>
          <w:lang w:val="en-US"/>
        </w:rPr>
        <w:footnoteReference w:id="14"/>
      </w:r>
      <w:r w:rsidR="0079440B" w:rsidRPr="004521C7">
        <w:rPr>
          <w:rFonts w:ascii="Times New Roman" w:hAnsi="Times New Roman" w:cs="Times New Roman"/>
          <w:iCs/>
          <w:sz w:val="24"/>
          <w:szCs w:val="24"/>
          <w:lang w:val="en-US"/>
        </w:rPr>
        <w:t xml:space="preserve"> In principle, then, these characteristics serve both as integral, to a person’s sense of the self, elements, as well as elements distinguishing them as members of a specific group within society (e.g. homosexuals). It is this latter belonging</w:t>
      </w:r>
      <w:r w:rsidR="00D6192F" w:rsidRPr="004521C7">
        <w:rPr>
          <w:rFonts w:ascii="Times New Roman" w:hAnsi="Times New Roman" w:cs="Times New Roman"/>
          <w:iCs/>
          <w:sz w:val="24"/>
          <w:szCs w:val="24"/>
          <w:lang w:val="en-US"/>
        </w:rPr>
        <w:t xml:space="preserve"> –actual or presumed–</w:t>
      </w:r>
      <w:r w:rsidR="0079440B" w:rsidRPr="004521C7">
        <w:rPr>
          <w:rFonts w:ascii="Times New Roman" w:hAnsi="Times New Roman" w:cs="Times New Roman"/>
          <w:iCs/>
          <w:sz w:val="24"/>
          <w:szCs w:val="24"/>
          <w:lang w:val="en-US"/>
        </w:rPr>
        <w:t xml:space="preserve"> that forms the </w:t>
      </w:r>
      <w:r w:rsidR="00D6192F" w:rsidRPr="004521C7">
        <w:rPr>
          <w:rFonts w:ascii="Times New Roman" w:hAnsi="Times New Roman" w:cs="Times New Roman"/>
          <w:iCs/>
          <w:sz w:val="24"/>
          <w:szCs w:val="24"/>
          <w:lang w:val="en-US"/>
        </w:rPr>
        <w:t>ultimate target of a hate crime</w:t>
      </w:r>
      <w:r w:rsidR="00A77358" w:rsidRPr="004521C7">
        <w:rPr>
          <w:rFonts w:ascii="Times New Roman" w:hAnsi="Times New Roman" w:cs="Times New Roman"/>
          <w:iCs/>
          <w:sz w:val="24"/>
          <w:szCs w:val="24"/>
          <w:lang w:val="en-US"/>
        </w:rPr>
        <w:t xml:space="preserve"> or of the perpetrator’s prejudice</w:t>
      </w:r>
      <w:r w:rsidR="00D6192F" w:rsidRPr="004521C7">
        <w:rPr>
          <w:rFonts w:ascii="Times New Roman" w:hAnsi="Times New Roman" w:cs="Times New Roman"/>
          <w:iCs/>
          <w:sz w:val="24"/>
          <w:szCs w:val="24"/>
          <w:lang w:val="en-US"/>
        </w:rPr>
        <w:t xml:space="preserve">, and consequently </w:t>
      </w:r>
      <w:r w:rsidR="00242CDD">
        <w:rPr>
          <w:rFonts w:ascii="Times New Roman" w:hAnsi="Times New Roman" w:cs="Times New Roman"/>
          <w:iCs/>
          <w:sz w:val="24"/>
          <w:szCs w:val="24"/>
          <w:lang w:val="en-US"/>
        </w:rPr>
        <w:t>the crime’s</w:t>
      </w:r>
      <w:r w:rsidR="00D6192F" w:rsidRPr="004521C7">
        <w:rPr>
          <w:rFonts w:ascii="Times New Roman" w:hAnsi="Times New Roman" w:cs="Times New Roman"/>
          <w:iCs/>
          <w:sz w:val="24"/>
          <w:szCs w:val="24"/>
          <w:lang w:val="en-US"/>
        </w:rPr>
        <w:t xml:space="preserve"> second prerequisite.</w:t>
      </w:r>
    </w:p>
    <w:p w:rsidR="00C11315" w:rsidRPr="004521C7" w:rsidRDefault="00C11315" w:rsidP="0079440B">
      <w:pPr>
        <w:jc w:val="both"/>
        <w:rPr>
          <w:rFonts w:ascii="Times New Roman" w:hAnsi="Times New Roman" w:cs="Times New Roman"/>
          <w:sz w:val="24"/>
          <w:szCs w:val="24"/>
          <w:lang w:val="en-US"/>
        </w:rPr>
      </w:pPr>
    </w:p>
    <w:p w:rsidR="00091F15" w:rsidRPr="004521C7" w:rsidRDefault="00091F15" w:rsidP="00113F03">
      <w:pPr>
        <w:pStyle w:val="Cmsor2"/>
        <w:rPr>
          <w:lang w:val="en-US"/>
        </w:rPr>
      </w:pPr>
      <w:bookmarkStart w:id="3" w:name="_Toc490844993"/>
      <w:r w:rsidRPr="004521C7">
        <w:rPr>
          <w:lang w:val="en-US"/>
        </w:rPr>
        <w:t>1.3 Victimization on the basis of Protected Characteristics</w:t>
      </w:r>
      <w:bookmarkEnd w:id="3"/>
    </w:p>
    <w:p w:rsidR="00C11315" w:rsidRDefault="00C11315" w:rsidP="00091F15">
      <w:pPr>
        <w:jc w:val="both"/>
        <w:rPr>
          <w:rFonts w:ascii="Times New Roman" w:hAnsi="Times New Roman" w:cs="Times New Roman"/>
          <w:iCs/>
          <w:sz w:val="24"/>
          <w:szCs w:val="24"/>
          <w:lang w:val="en-US"/>
        </w:rPr>
      </w:pPr>
    </w:p>
    <w:p w:rsidR="00091F15" w:rsidRPr="004521C7" w:rsidRDefault="00091F15" w:rsidP="00297811">
      <w:pPr>
        <w:jc w:val="both"/>
        <w:rPr>
          <w:rFonts w:ascii="Times New Roman" w:hAnsi="Times New Roman" w:cs="Times New Roman"/>
          <w:iCs/>
          <w:sz w:val="24"/>
          <w:szCs w:val="24"/>
          <w:lang w:val="en-US"/>
        </w:rPr>
      </w:pPr>
      <w:r w:rsidRPr="004521C7">
        <w:rPr>
          <w:rFonts w:ascii="Times New Roman" w:hAnsi="Times New Roman" w:cs="Times New Roman"/>
          <w:iCs/>
          <w:sz w:val="24"/>
          <w:szCs w:val="24"/>
          <w:lang w:val="en-US"/>
        </w:rPr>
        <w:t xml:space="preserve">At this point we can reformulate and state that hate crimes are criminal acts triggered by an extreme form of prejudice </w:t>
      </w:r>
      <w:r w:rsidR="000F3C8B" w:rsidRPr="004521C7">
        <w:rPr>
          <w:rFonts w:ascii="Times New Roman" w:hAnsi="Times New Roman" w:cs="Times New Roman"/>
          <w:iCs/>
          <w:sz w:val="24"/>
          <w:szCs w:val="24"/>
          <w:lang w:val="en-US"/>
        </w:rPr>
        <w:t xml:space="preserve">–extreme, in that its manifestation is violent– </w:t>
      </w:r>
      <w:r w:rsidRPr="004521C7">
        <w:rPr>
          <w:rFonts w:ascii="Times New Roman" w:hAnsi="Times New Roman" w:cs="Times New Roman"/>
          <w:iCs/>
          <w:sz w:val="24"/>
          <w:szCs w:val="24"/>
          <w:lang w:val="en-US"/>
        </w:rPr>
        <w:t xml:space="preserve">towards </w:t>
      </w:r>
      <w:r w:rsidR="00335C85">
        <w:rPr>
          <w:rFonts w:ascii="Times New Roman" w:hAnsi="Times New Roman" w:cs="Times New Roman"/>
          <w:iCs/>
          <w:sz w:val="24"/>
          <w:szCs w:val="24"/>
          <w:lang w:val="en-US"/>
        </w:rPr>
        <w:t>individuals</w:t>
      </w:r>
      <w:r w:rsidR="00140723">
        <w:rPr>
          <w:rFonts w:ascii="Times New Roman" w:hAnsi="Times New Roman" w:cs="Times New Roman"/>
          <w:iCs/>
          <w:sz w:val="24"/>
          <w:szCs w:val="24"/>
          <w:lang w:val="en-US"/>
        </w:rPr>
        <w:t>,</w:t>
      </w:r>
      <w:r w:rsidR="00335C85">
        <w:rPr>
          <w:rFonts w:ascii="Times New Roman" w:hAnsi="Times New Roman" w:cs="Times New Roman"/>
          <w:iCs/>
          <w:sz w:val="24"/>
          <w:szCs w:val="24"/>
          <w:lang w:val="en-US"/>
        </w:rPr>
        <w:t xml:space="preserve"> based on the</w:t>
      </w:r>
      <w:r w:rsidR="00140723">
        <w:rPr>
          <w:rFonts w:ascii="Times New Roman" w:hAnsi="Times New Roman" w:cs="Times New Roman"/>
          <w:iCs/>
          <w:sz w:val="24"/>
          <w:szCs w:val="24"/>
          <w:lang w:val="en-US"/>
        </w:rPr>
        <w:t>ir</w:t>
      </w:r>
      <w:r w:rsidR="00335C85">
        <w:rPr>
          <w:rFonts w:ascii="Times New Roman" w:hAnsi="Times New Roman" w:cs="Times New Roman"/>
          <w:iCs/>
          <w:sz w:val="24"/>
          <w:szCs w:val="24"/>
          <w:lang w:val="en-US"/>
        </w:rPr>
        <w:t xml:space="preserve"> actual or presumed affiliation with specific groups w</w:t>
      </w:r>
      <w:r w:rsidRPr="004521C7">
        <w:rPr>
          <w:rFonts w:ascii="Times New Roman" w:hAnsi="Times New Roman" w:cs="Times New Roman"/>
          <w:iCs/>
          <w:sz w:val="24"/>
          <w:szCs w:val="24"/>
          <w:lang w:val="en-US"/>
        </w:rPr>
        <w:t xml:space="preserve">ithin </w:t>
      </w:r>
      <w:r w:rsidR="00335C85">
        <w:rPr>
          <w:rFonts w:ascii="Times New Roman" w:hAnsi="Times New Roman" w:cs="Times New Roman"/>
          <w:iCs/>
          <w:sz w:val="24"/>
          <w:szCs w:val="24"/>
          <w:lang w:val="en-US"/>
        </w:rPr>
        <w:t>society</w:t>
      </w:r>
      <w:r w:rsidRPr="004521C7">
        <w:rPr>
          <w:rFonts w:ascii="Times New Roman" w:hAnsi="Times New Roman" w:cs="Times New Roman"/>
          <w:iCs/>
          <w:sz w:val="24"/>
          <w:szCs w:val="24"/>
          <w:lang w:val="en-US"/>
        </w:rPr>
        <w:t>.</w:t>
      </w:r>
      <w:r w:rsidR="00335C85">
        <w:rPr>
          <w:rFonts w:ascii="Times New Roman" w:hAnsi="Times New Roman" w:cs="Times New Roman"/>
          <w:iCs/>
          <w:sz w:val="24"/>
          <w:szCs w:val="24"/>
          <w:lang w:val="en-US"/>
        </w:rPr>
        <w:t xml:space="preserve"> An affiliation pertinent upon the victim’</w:t>
      </w:r>
      <w:r w:rsidR="00D2793E">
        <w:rPr>
          <w:rFonts w:ascii="Times New Roman" w:hAnsi="Times New Roman" w:cs="Times New Roman"/>
          <w:iCs/>
          <w:sz w:val="24"/>
          <w:szCs w:val="24"/>
          <w:lang w:val="en-US"/>
        </w:rPr>
        <w:t xml:space="preserve">s </w:t>
      </w:r>
      <w:r w:rsidR="00140723">
        <w:rPr>
          <w:rFonts w:ascii="Times New Roman" w:hAnsi="Times New Roman" w:cs="Times New Roman"/>
          <w:iCs/>
          <w:sz w:val="24"/>
          <w:szCs w:val="24"/>
          <w:lang w:val="en-US"/>
        </w:rPr>
        <w:t>display</w:t>
      </w:r>
      <w:r w:rsidR="00297811">
        <w:rPr>
          <w:rFonts w:ascii="Times New Roman" w:hAnsi="Times New Roman" w:cs="Times New Roman"/>
          <w:iCs/>
          <w:sz w:val="24"/>
          <w:szCs w:val="24"/>
          <w:lang w:val="en-US"/>
        </w:rPr>
        <w:t xml:space="preserve">ing (actually or presumably) </w:t>
      </w:r>
      <w:r w:rsidR="000A6144">
        <w:rPr>
          <w:rFonts w:ascii="Times New Roman" w:hAnsi="Times New Roman" w:cs="Times New Roman"/>
          <w:iCs/>
          <w:sz w:val="24"/>
          <w:szCs w:val="24"/>
          <w:lang w:val="en-US"/>
        </w:rPr>
        <w:t>a set of</w:t>
      </w:r>
      <w:r w:rsidRPr="004521C7">
        <w:rPr>
          <w:rFonts w:ascii="Times New Roman" w:hAnsi="Times New Roman" w:cs="Times New Roman"/>
          <w:iCs/>
          <w:sz w:val="24"/>
          <w:szCs w:val="24"/>
          <w:lang w:val="en-US"/>
        </w:rPr>
        <w:t xml:space="preserve"> fundamental (protected) characteristics, </w:t>
      </w:r>
      <w:r w:rsidR="00140723">
        <w:rPr>
          <w:rFonts w:ascii="Times New Roman" w:hAnsi="Times New Roman" w:cs="Times New Roman"/>
          <w:iCs/>
          <w:sz w:val="24"/>
          <w:szCs w:val="24"/>
          <w:lang w:val="en-US"/>
        </w:rPr>
        <w:t xml:space="preserve">and thus </w:t>
      </w:r>
      <w:r w:rsidR="00297811">
        <w:rPr>
          <w:rFonts w:ascii="Times New Roman" w:hAnsi="Times New Roman" w:cs="Times New Roman"/>
          <w:iCs/>
          <w:sz w:val="24"/>
          <w:szCs w:val="24"/>
          <w:lang w:val="en-US"/>
        </w:rPr>
        <w:t>a certain type of</w:t>
      </w:r>
      <w:r w:rsidR="00140723">
        <w:rPr>
          <w:rFonts w:ascii="Times New Roman" w:hAnsi="Times New Roman" w:cs="Times New Roman"/>
          <w:iCs/>
          <w:sz w:val="24"/>
          <w:szCs w:val="24"/>
          <w:lang w:val="en-US"/>
        </w:rPr>
        <w:t xml:space="preserve"> identity</w:t>
      </w:r>
      <w:r w:rsidRPr="004521C7">
        <w:rPr>
          <w:rFonts w:ascii="Times New Roman" w:hAnsi="Times New Roman" w:cs="Times New Roman"/>
          <w:iCs/>
          <w:sz w:val="24"/>
          <w:szCs w:val="24"/>
          <w:lang w:val="en-US"/>
        </w:rPr>
        <w:t>. What does this mean in terms of uncovering hate crimes?</w:t>
      </w:r>
    </w:p>
    <w:p w:rsidR="00D27213" w:rsidRPr="004521C7" w:rsidRDefault="00091F15" w:rsidP="009F0346">
      <w:pPr>
        <w:ind w:firstLine="720"/>
        <w:jc w:val="both"/>
        <w:rPr>
          <w:rFonts w:ascii="Times New Roman" w:hAnsi="Times New Roman" w:cs="Times New Roman"/>
          <w:iCs/>
          <w:sz w:val="24"/>
          <w:szCs w:val="24"/>
          <w:lang w:val="en-US"/>
        </w:rPr>
      </w:pPr>
      <w:r w:rsidRPr="004521C7">
        <w:rPr>
          <w:rFonts w:ascii="Times New Roman" w:hAnsi="Times New Roman" w:cs="Times New Roman"/>
          <w:iCs/>
          <w:sz w:val="24"/>
          <w:szCs w:val="24"/>
          <w:lang w:val="en-US"/>
        </w:rPr>
        <w:t>For starters</w:t>
      </w:r>
      <w:r w:rsidR="007B0DF0" w:rsidRPr="004521C7">
        <w:rPr>
          <w:rFonts w:ascii="Times New Roman" w:hAnsi="Times New Roman" w:cs="Times New Roman"/>
          <w:iCs/>
          <w:sz w:val="24"/>
          <w:szCs w:val="24"/>
          <w:lang w:val="en-US"/>
        </w:rPr>
        <w:t>,</w:t>
      </w:r>
      <w:r w:rsidRPr="004521C7">
        <w:rPr>
          <w:rFonts w:ascii="Times New Roman" w:hAnsi="Times New Roman" w:cs="Times New Roman"/>
          <w:iCs/>
          <w:sz w:val="24"/>
          <w:szCs w:val="24"/>
          <w:lang w:val="en-US"/>
        </w:rPr>
        <w:t xml:space="preserve"> th</w:t>
      </w:r>
      <w:r w:rsidR="007B0DF0" w:rsidRPr="004521C7">
        <w:rPr>
          <w:rFonts w:ascii="Times New Roman" w:hAnsi="Times New Roman" w:cs="Times New Roman"/>
          <w:iCs/>
          <w:sz w:val="24"/>
          <w:szCs w:val="24"/>
          <w:lang w:val="en-US"/>
        </w:rPr>
        <w:t>at when prosecuting hate crimes</w:t>
      </w:r>
      <w:r w:rsidRPr="004521C7">
        <w:rPr>
          <w:rFonts w:ascii="Times New Roman" w:hAnsi="Times New Roman" w:cs="Times New Roman"/>
          <w:iCs/>
          <w:sz w:val="24"/>
          <w:szCs w:val="24"/>
          <w:lang w:val="en-US"/>
        </w:rPr>
        <w:t xml:space="preserve"> one should not be necessarily </w:t>
      </w:r>
      <w:r w:rsidR="009F0346">
        <w:rPr>
          <w:rFonts w:ascii="Times New Roman" w:hAnsi="Times New Roman" w:cs="Times New Roman"/>
          <w:iCs/>
          <w:sz w:val="24"/>
          <w:szCs w:val="24"/>
          <w:lang w:val="en-US"/>
        </w:rPr>
        <w:t>looking</w:t>
      </w:r>
      <w:r w:rsidRPr="004521C7">
        <w:rPr>
          <w:rFonts w:ascii="Times New Roman" w:hAnsi="Times New Roman" w:cs="Times New Roman"/>
          <w:iCs/>
          <w:sz w:val="24"/>
          <w:szCs w:val="24"/>
          <w:lang w:val="en-US"/>
        </w:rPr>
        <w:t xml:space="preserve"> to uncover the one,</w:t>
      </w:r>
      <w:r w:rsidR="007B0DF0" w:rsidRPr="004521C7">
        <w:rPr>
          <w:rFonts w:ascii="Times New Roman" w:hAnsi="Times New Roman" w:cs="Times New Roman"/>
          <w:iCs/>
          <w:sz w:val="24"/>
          <w:szCs w:val="24"/>
          <w:lang w:val="en-US"/>
        </w:rPr>
        <w:t xml:space="preserve"> fundamental, aspect of a victim’s identity</w:t>
      </w:r>
      <w:r w:rsidR="00A77358" w:rsidRPr="004521C7">
        <w:rPr>
          <w:rFonts w:ascii="Times New Roman" w:hAnsi="Times New Roman" w:cs="Times New Roman"/>
          <w:iCs/>
          <w:sz w:val="24"/>
          <w:szCs w:val="24"/>
          <w:lang w:val="en-US"/>
        </w:rPr>
        <w:t>,</w:t>
      </w:r>
      <w:r w:rsidR="007B0DF0" w:rsidRPr="004521C7">
        <w:rPr>
          <w:rFonts w:ascii="Times New Roman" w:hAnsi="Times New Roman" w:cs="Times New Roman"/>
          <w:iCs/>
          <w:sz w:val="24"/>
          <w:szCs w:val="24"/>
          <w:lang w:val="en-US"/>
        </w:rPr>
        <w:t xml:space="preserve"> which may have triggered the hate crime</w:t>
      </w:r>
      <w:r w:rsidR="00297811">
        <w:rPr>
          <w:rFonts w:ascii="Times New Roman" w:hAnsi="Times New Roman" w:cs="Times New Roman"/>
          <w:iCs/>
          <w:sz w:val="24"/>
          <w:szCs w:val="24"/>
          <w:lang w:val="en-US"/>
        </w:rPr>
        <w:t xml:space="preserve"> itself</w:t>
      </w:r>
      <w:r w:rsidR="007B0DF0" w:rsidRPr="004521C7">
        <w:rPr>
          <w:rFonts w:ascii="Times New Roman" w:hAnsi="Times New Roman" w:cs="Times New Roman"/>
          <w:iCs/>
          <w:sz w:val="24"/>
          <w:szCs w:val="24"/>
          <w:lang w:val="en-US"/>
        </w:rPr>
        <w:t>.</w:t>
      </w:r>
      <w:r w:rsidRPr="004521C7">
        <w:rPr>
          <w:rFonts w:ascii="Times New Roman" w:hAnsi="Times New Roman" w:cs="Times New Roman"/>
          <w:iCs/>
          <w:sz w:val="24"/>
          <w:szCs w:val="24"/>
          <w:lang w:val="en-US"/>
        </w:rPr>
        <w:t xml:space="preserve"> As is the case with individual identity, so too group identity is not monolithic, but rather multifaceted and com</w:t>
      </w:r>
      <w:r w:rsidR="007B0DF0" w:rsidRPr="004521C7">
        <w:rPr>
          <w:rFonts w:ascii="Times New Roman" w:hAnsi="Times New Roman" w:cs="Times New Roman"/>
          <w:iCs/>
          <w:sz w:val="24"/>
          <w:szCs w:val="24"/>
          <w:lang w:val="en-US"/>
        </w:rPr>
        <w:t>p</w:t>
      </w:r>
      <w:r w:rsidR="00297811">
        <w:rPr>
          <w:rFonts w:ascii="Times New Roman" w:hAnsi="Times New Roman" w:cs="Times New Roman"/>
          <w:iCs/>
          <w:sz w:val="24"/>
          <w:szCs w:val="24"/>
          <w:lang w:val="en-US"/>
        </w:rPr>
        <w:t>rises</w:t>
      </w:r>
      <w:r w:rsidR="007B0DF0" w:rsidRPr="004521C7">
        <w:rPr>
          <w:rFonts w:ascii="Times New Roman" w:hAnsi="Times New Roman" w:cs="Times New Roman"/>
          <w:iCs/>
          <w:sz w:val="24"/>
          <w:szCs w:val="24"/>
          <w:lang w:val="en-US"/>
        </w:rPr>
        <w:t xml:space="preserve"> of a variety of characteristics that serve to constitute it in its perceived totality</w:t>
      </w:r>
      <w:r w:rsidRPr="004521C7">
        <w:rPr>
          <w:rFonts w:ascii="Times New Roman" w:hAnsi="Times New Roman" w:cs="Times New Roman"/>
          <w:iCs/>
          <w:sz w:val="24"/>
          <w:szCs w:val="24"/>
          <w:lang w:val="en-US"/>
        </w:rPr>
        <w:t xml:space="preserve">. For instance, in many parts of the world, </w:t>
      </w:r>
      <w:r w:rsidR="009F0346">
        <w:rPr>
          <w:rFonts w:ascii="Times New Roman" w:hAnsi="Times New Roman" w:cs="Times New Roman"/>
          <w:iCs/>
          <w:sz w:val="24"/>
          <w:szCs w:val="24"/>
          <w:lang w:val="en-US"/>
        </w:rPr>
        <w:t>religion forms a quintessential aspect</w:t>
      </w:r>
      <w:r w:rsidRPr="004521C7">
        <w:rPr>
          <w:rFonts w:ascii="Times New Roman" w:hAnsi="Times New Roman" w:cs="Times New Roman"/>
          <w:iCs/>
          <w:sz w:val="24"/>
          <w:szCs w:val="24"/>
          <w:lang w:val="en-US"/>
        </w:rPr>
        <w:t xml:space="preserve"> of ethnic or national identity, and thus can</w:t>
      </w:r>
      <w:r w:rsidR="009F0346">
        <w:rPr>
          <w:rFonts w:ascii="Times New Roman" w:hAnsi="Times New Roman" w:cs="Times New Roman"/>
          <w:iCs/>
          <w:sz w:val="24"/>
          <w:szCs w:val="24"/>
          <w:lang w:val="en-US"/>
        </w:rPr>
        <w:t>,</w:t>
      </w:r>
      <w:r w:rsidRPr="004521C7">
        <w:rPr>
          <w:rFonts w:ascii="Times New Roman" w:hAnsi="Times New Roman" w:cs="Times New Roman"/>
          <w:iCs/>
          <w:sz w:val="24"/>
          <w:szCs w:val="24"/>
          <w:lang w:val="en-US"/>
        </w:rPr>
        <w:t xml:space="preserve"> at times</w:t>
      </w:r>
      <w:r w:rsidR="009F0346">
        <w:rPr>
          <w:rFonts w:ascii="Times New Roman" w:hAnsi="Times New Roman" w:cs="Times New Roman"/>
          <w:iCs/>
          <w:sz w:val="24"/>
          <w:szCs w:val="24"/>
          <w:lang w:val="en-US"/>
        </w:rPr>
        <w:t>,</w:t>
      </w:r>
      <w:r w:rsidRPr="004521C7">
        <w:rPr>
          <w:rFonts w:ascii="Times New Roman" w:hAnsi="Times New Roman" w:cs="Times New Roman"/>
          <w:iCs/>
          <w:sz w:val="24"/>
          <w:szCs w:val="24"/>
          <w:lang w:val="en-US"/>
        </w:rPr>
        <w:t xml:space="preserve"> be seen as inseparable from the latter. </w:t>
      </w:r>
      <w:r w:rsidR="001F20DB" w:rsidRPr="004521C7">
        <w:rPr>
          <w:rFonts w:ascii="Times New Roman" w:hAnsi="Times New Roman" w:cs="Times New Roman"/>
          <w:iCs/>
          <w:sz w:val="24"/>
          <w:szCs w:val="24"/>
          <w:lang w:val="en-US"/>
        </w:rPr>
        <w:t>T</w:t>
      </w:r>
      <w:r w:rsidRPr="004521C7">
        <w:rPr>
          <w:rFonts w:ascii="Times New Roman" w:hAnsi="Times New Roman" w:cs="Times New Roman"/>
          <w:iCs/>
          <w:sz w:val="24"/>
          <w:szCs w:val="24"/>
          <w:lang w:val="en-US"/>
        </w:rPr>
        <w:t>he same</w:t>
      </w:r>
      <w:r w:rsidR="001F20DB" w:rsidRPr="004521C7">
        <w:rPr>
          <w:rFonts w:ascii="Times New Roman" w:hAnsi="Times New Roman" w:cs="Times New Roman"/>
          <w:iCs/>
          <w:sz w:val="24"/>
          <w:szCs w:val="24"/>
          <w:lang w:val="en-US"/>
        </w:rPr>
        <w:t>, of course,</w:t>
      </w:r>
      <w:r w:rsidRPr="004521C7">
        <w:rPr>
          <w:rFonts w:ascii="Times New Roman" w:hAnsi="Times New Roman" w:cs="Times New Roman"/>
          <w:iCs/>
          <w:sz w:val="24"/>
          <w:szCs w:val="24"/>
          <w:lang w:val="en-US"/>
        </w:rPr>
        <w:t xml:space="preserve"> can be said about language</w:t>
      </w:r>
      <w:r w:rsidR="001F20DB" w:rsidRPr="004521C7">
        <w:rPr>
          <w:rFonts w:ascii="Times New Roman" w:hAnsi="Times New Roman" w:cs="Times New Roman"/>
          <w:iCs/>
          <w:sz w:val="24"/>
          <w:szCs w:val="24"/>
          <w:lang w:val="en-US"/>
        </w:rPr>
        <w:t>, which</w:t>
      </w:r>
      <w:r w:rsidRPr="004521C7">
        <w:rPr>
          <w:rFonts w:ascii="Times New Roman" w:hAnsi="Times New Roman" w:cs="Times New Roman"/>
          <w:iCs/>
          <w:sz w:val="24"/>
          <w:szCs w:val="24"/>
          <w:lang w:val="en-US"/>
        </w:rPr>
        <w:t xml:space="preserve"> as a precondition for national state formation, is the par </w:t>
      </w:r>
      <w:r w:rsidRPr="004521C7">
        <w:rPr>
          <w:rFonts w:ascii="Times New Roman" w:hAnsi="Times New Roman" w:cs="Times New Roman"/>
          <w:iCs/>
          <w:sz w:val="24"/>
          <w:szCs w:val="24"/>
          <w:lang w:val="en-US"/>
        </w:rPr>
        <w:lastRenderedPageBreak/>
        <w:t>excellence a</w:t>
      </w:r>
      <w:r w:rsidR="001F20DB" w:rsidRPr="004521C7">
        <w:rPr>
          <w:rFonts w:ascii="Times New Roman" w:hAnsi="Times New Roman" w:cs="Times New Roman"/>
          <w:iCs/>
          <w:sz w:val="24"/>
          <w:szCs w:val="24"/>
          <w:lang w:val="en-US"/>
        </w:rPr>
        <w:t xml:space="preserve">ttribute of </w:t>
      </w:r>
      <w:r w:rsidR="009F0346">
        <w:rPr>
          <w:rFonts w:ascii="Times New Roman" w:hAnsi="Times New Roman" w:cs="Times New Roman"/>
          <w:iCs/>
          <w:sz w:val="24"/>
          <w:szCs w:val="24"/>
          <w:lang w:val="en-US"/>
        </w:rPr>
        <w:t xml:space="preserve">ethnic or </w:t>
      </w:r>
      <w:r w:rsidR="001F20DB" w:rsidRPr="004521C7">
        <w:rPr>
          <w:rFonts w:ascii="Times New Roman" w:hAnsi="Times New Roman" w:cs="Times New Roman"/>
          <w:iCs/>
          <w:sz w:val="24"/>
          <w:szCs w:val="24"/>
          <w:lang w:val="en-US"/>
        </w:rPr>
        <w:t xml:space="preserve">national </w:t>
      </w:r>
      <w:r w:rsidR="009F0346">
        <w:rPr>
          <w:rFonts w:ascii="Times New Roman" w:hAnsi="Times New Roman" w:cs="Times New Roman"/>
          <w:iCs/>
          <w:sz w:val="24"/>
          <w:szCs w:val="24"/>
          <w:lang w:val="en-US"/>
        </w:rPr>
        <w:t xml:space="preserve">identity and </w:t>
      </w:r>
      <w:r w:rsidR="001F20DB" w:rsidRPr="004521C7">
        <w:rPr>
          <w:rFonts w:ascii="Times New Roman" w:hAnsi="Times New Roman" w:cs="Times New Roman"/>
          <w:iCs/>
          <w:sz w:val="24"/>
          <w:szCs w:val="24"/>
          <w:lang w:val="en-US"/>
        </w:rPr>
        <w:t>belonging.</w:t>
      </w:r>
      <w:r w:rsidR="00911459">
        <w:rPr>
          <w:rStyle w:val="Lbjegyzet-hivatkozs"/>
          <w:rFonts w:ascii="Times New Roman" w:hAnsi="Times New Roman" w:cs="Times New Roman"/>
          <w:iCs/>
          <w:sz w:val="24"/>
          <w:szCs w:val="24"/>
          <w:lang w:val="en-US"/>
        </w:rPr>
        <w:footnoteReference w:id="15"/>
      </w:r>
      <w:r w:rsidR="007B0DF0" w:rsidRPr="004521C7">
        <w:rPr>
          <w:rFonts w:ascii="Times New Roman" w:hAnsi="Times New Roman" w:cs="Times New Roman"/>
          <w:iCs/>
          <w:sz w:val="24"/>
          <w:szCs w:val="24"/>
          <w:lang w:val="en-US"/>
        </w:rPr>
        <w:t xml:space="preserve"> Thi</w:t>
      </w:r>
      <w:r w:rsidRPr="004521C7">
        <w:rPr>
          <w:rFonts w:ascii="Times New Roman" w:hAnsi="Times New Roman" w:cs="Times New Roman"/>
          <w:iCs/>
          <w:sz w:val="24"/>
          <w:szCs w:val="24"/>
          <w:lang w:val="en-US"/>
        </w:rPr>
        <w:t>s</w:t>
      </w:r>
      <w:r w:rsidR="007B0DF0" w:rsidRPr="004521C7">
        <w:rPr>
          <w:rFonts w:ascii="Times New Roman" w:hAnsi="Times New Roman" w:cs="Times New Roman"/>
          <w:iCs/>
          <w:sz w:val="24"/>
          <w:szCs w:val="24"/>
          <w:lang w:val="en-US"/>
        </w:rPr>
        <w:t xml:space="preserve"> overlapping and complementarityexhibited by protected characteristics, in turn, means that </w:t>
      </w:r>
      <w:r w:rsidRPr="004521C7">
        <w:rPr>
          <w:rFonts w:ascii="Times New Roman" w:hAnsi="Times New Roman" w:cs="Times New Roman"/>
          <w:iCs/>
          <w:sz w:val="24"/>
          <w:szCs w:val="24"/>
          <w:lang w:val="en-US"/>
        </w:rPr>
        <w:t>individuals may</w:t>
      </w:r>
      <w:r w:rsidR="007B0DF0" w:rsidRPr="004521C7">
        <w:rPr>
          <w:rFonts w:ascii="Times New Roman" w:hAnsi="Times New Roman" w:cs="Times New Roman"/>
          <w:iCs/>
          <w:sz w:val="24"/>
          <w:szCs w:val="24"/>
          <w:lang w:val="en-US"/>
        </w:rPr>
        <w:t xml:space="preserve"> be victimized due to their disp</w:t>
      </w:r>
      <w:r w:rsidRPr="004521C7">
        <w:rPr>
          <w:rFonts w:ascii="Times New Roman" w:hAnsi="Times New Roman" w:cs="Times New Roman"/>
          <w:iCs/>
          <w:sz w:val="24"/>
          <w:szCs w:val="24"/>
          <w:lang w:val="en-US"/>
        </w:rPr>
        <w:t>l</w:t>
      </w:r>
      <w:r w:rsidR="007B0DF0" w:rsidRPr="004521C7">
        <w:rPr>
          <w:rFonts w:ascii="Times New Roman" w:hAnsi="Times New Roman" w:cs="Times New Roman"/>
          <w:iCs/>
          <w:sz w:val="24"/>
          <w:szCs w:val="24"/>
          <w:lang w:val="en-US"/>
        </w:rPr>
        <w:t>aying a combination of characteristics</w:t>
      </w:r>
      <w:r w:rsidR="00950897">
        <w:rPr>
          <w:rFonts w:ascii="Times New Roman" w:hAnsi="Times New Roman" w:cs="Times New Roman"/>
          <w:iCs/>
          <w:sz w:val="24"/>
          <w:szCs w:val="24"/>
          <w:lang w:val="en-US"/>
        </w:rPr>
        <w:t xml:space="preserve"> (e.g. nationality and religion)</w:t>
      </w:r>
      <w:r w:rsidR="009F0346">
        <w:rPr>
          <w:rFonts w:ascii="Times New Roman" w:hAnsi="Times New Roman" w:cs="Times New Roman"/>
          <w:iCs/>
          <w:sz w:val="24"/>
          <w:szCs w:val="24"/>
          <w:lang w:val="en-US"/>
        </w:rPr>
        <w:t>, which, as has been observed,</w:t>
      </w:r>
      <w:r w:rsidR="00950897">
        <w:rPr>
          <w:rFonts w:ascii="Times New Roman" w:hAnsi="Times New Roman" w:cs="Times New Roman"/>
          <w:iCs/>
          <w:sz w:val="24"/>
          <w:szCs w:val="24"/>
          <w:lang w:val="en-US"/>
        </w:rPr>
        <w:t xml:space="preserve"> is </w:t>
      </w:r>
      <w:r w:rsidR="004A4209" w:rsidRPr="004521C7">
        <w:rPr>
          <w:rFonts w:ascii="Times New Roman" w:hAnsi="Times New Roman" w:cs="Times New Roman"/>
          <w:iCs/>
          <w:sz w:val="24"/>
          <w:szCs w:val="24"/>
          <w:lang w:val="en-US"/>
        </w:rPr>
        <w:t>the case</w:t>
      </w:r>
      <w:r w:rsidR="009F0346">
        <w:rPr>
          <w:rFonts w:ascii="Times New Roman" w:hAnsi="Times New Roman" w:cs="Times New Roman"/>
          <w:iCs/>
          <w:sz w:val="24"/>
          <w:szCs w:val="24"/>
          <w:lang w:val="en-US"/>
        </w:rPr>
        <w:t xml:space="preserve"> with approximately 50% of the hate crimes committed</w:t>
      </w:r>
      <w:r w:rsidR="00911459">
        <w:rPr>
          <w:rFonts w:ascii="Times New Roman" w:hAnsi="Times New Roman" w:cs="Times New Roman"/>
          <w:iCs/>
          <w:sz w:val="24"/>
          <w:szCs w:val="24"/>
          <w:lang w:val="en-US"/>
        </w:rPr>
        <w:t xml:space="preserve"> in the UK</w:t>
      </w:r>
      <w:r w:rsidR="00950897">
        <w:rPr>
          <w:rFonts w:ascii="Times New Roman" w:hAnsi="Times New Roman" w:cs="Times New Roman"/>
          <w:iCs/>
          <w:sz w:val="24"/>
          <w:szCs w:val="24"/>
          <w:lang w:val="en-US"/>
        </w:rPr>
        <w:t xml:space="preserve"> during recent years</w:t>
      </w:r>
      <w:r w:rsidR="00911459">
        <w:rPr>
          <w:rFonts w:ascii="Times New Roman" w:hAnsi="Times New Roman" w:cs="Times New Roman"/>
          <w:iCs/>
          <w:sz w:val="24"/>
          <w:szCs w:val="24"/>
          <w:lang w:val="en-US"/>
        </w:rPr>
        <w:t>.</w:t>
      </w:r>
      <w:r w:rsidR="00911459">
        <w:rPr>
          <w:rStyle w:val="Lbjegyzet-hivatkozs"/>
          <w:rFonts w:ascii="Times New Roman" w:hAnsi="Times New Roman" w:cs="Times New Roman"/>
          <w:iCs/>
          <w:sz w:val="24"/>
          <w:szCs w:val="24"/>
          <w:lang w:val="en-US"/>
        </w:rPr>
        <w:footnoteReference w:id="16"/>
      </w:r>
    </w:p>
    <w:p w:rsidR="003F35E3" w:rsidRDefault="00091F15" w:rsidP="00204DB2">
      <w:pPr>
        <w:ind w:firstLine="720"/>
        <w:jc w:val="both"/>
        <w:rPr>
          <w:rFonts w:ascii="Times New Roman" w:hAnsi="Times New Roman" w:cs="Times New Roman"/>
          <w:iCs/>
          <w:sz w:val="24"/>
          <w:szCs w:val="24"/>
          <w:lang w:val="en-US"/>
        </w:rPr>
      </w:pPr>
      <w:r w:rsidRPr="004521C7">
        <w:rPr>
          <w:rFonts w:ascii="Times New Roman" w:hAnsi="Times New Roman" w:cs="Times New Roman"/>
          <w:iCs/>
          <w:sz w:val="24"/>
          <w:szCs w:val="24"/>
          <w:lang w:val="en-US"/>
        </w:rPr>
        <w:t xml:space="preserve">Second, ‘[h]ate </w:t>
      </w:r>
      <w:r w:rsidR="00911459">
        <w:rPr>
          <w:rFonts w:ascii="Times New Roman" w:hAnsi="Times New Roman" w:cs="Times New Roman"/>
          <w:iCs/>
          <w:sz w:val="24"/>
          <w:szCs w:val="24"/>
          <w:lang w:val="en-US"/>
        </w:rPr>
        <w:t>crimes do not occur in a vacuum</w:t>
      </w:r>
      <w:r w:rsidR="000D4FE0">
        <w:rPr>
          <w:rFonts w:ascii="Times New Roman" w:hAnsi="Times New Roman" w:cs="Times New Roman"/>
          <w:iCs/>
          <w:sz w:val="24"/>
          <w:szCs w:val="24"/>
          <w:lang w:val="en-US"/>
        </w:rPr>
        <w:t>’</w:t>
      </w:r>
      <w:r w:rsidRPr="004521C7">
        <w:rPr>
          <w:rFonts w:ascii="Times New Roman" w:hAnsi="Times New Roman" w:cs="Times New Roman"/>
          <w:iCs/>
          <w:sz w:val="24"/>
          <w:szCs w:val="24"/>
          <w:lang w:val="en-US"/>
        </w:rPr>
        <w:t>.</w:t>
      </w:r>
      <w:r w:rsidR="00911459">
        <w:rPr>
          <w:rStyle w:val="Lbjegyzet-hivatkozs"/>
          <w:rFonts w:ascii="Times New Roman" w:hAnsi="Times New Roman" w:cs="Times New Roman"/>
          <w:iCs/>
          <w:sz w:val="24"/>
          <w:szCs w:val="24"/>
          <w:lang w:val="en-US"/>
        </w:rPr>
        <w:footnoteReference w:id="17"/>
      </w:r>
      <w:r w:rsidR="00B43875" w:rsidRPr="004521C7">
        <w:rPr>
          <w:rFonts w:ascii="Times New Roman" w:hAnsi="Times New Roman" w:cs="Times New Roman"/>
          <w:iCs/>
          <w:sz w:val="24"/>
          <w:szCs w:val="24"/>
          <w:lang w:val="en-US"/>
        </w:rPr>
        <w:t xml:space="preserve">Though </w:t>
      </w:r>
      <w:r w:rsidR="00AE5ACC" w:rsidRPr="00AE5ACC">
        <w:rPr>
          <w:rFonts w:ascii="Times New Roman" w:hAnsi="Times New Roman" w:cs="Times New Roman"/>
          <w:iCs/>
          <w:sz w:val="24"/>
          <w:szCs w:val="24"/>
          <w:lang w:val="en-GB"/>
        </w:rPr>
        <w:t xml:space="preserve">their </w:t>
      </w:r>
      <w:r w:rsidR="00AE5ACC">
        <w:rPr>
          <w:rFonts w:ascii="Times New Roman" w:hAnsi="Times New Roman" w:cs="Times New Roman"/>
          <w:iCs/>
          <w:sz w:val="24"/>
          <w:szCs w:val="24"/>
          <w:lang w:val="en-GB"/>
        </w:rPr>
        <w:t xml:space="preserve">time-bound, accumulating, </w:t>
      </w:r>
      <w:r w:rsidR="00AE5ACC" w:rsidRPr="00AE5ACC">
        <w:rPr>
          <w:rFonts w:ascii="Times New Roman" w:hAnsi="Times New Roman" w:cs="Times New Roman"/>
          <w:iCs/>
          <w:sz w:val="24"/>
          <w:szCs w:val="24"/>
          <w:lang w:val="en-GB"/>
        </w:rPr>
        <w:t>conditions of possibility</w:t>
      </w:r>
      <w:r w:rsidR="00AE5ACC">
        <w:rPr>
          <w:rFonts w:ascii="Times New Roman" w:hAnsi="Times New Roman" w:cs="Times New Roman"/>
          <w:iCs/>
          <w:sz w:val="24"/>
          <w:szCs w:val="24"/>
          <w:lang w:val="en-US"/>
        </w:rPr>
        <w:t xml:space="preserve"> are</w:t>
      </w:r>
      <w:r w:rsidR="00B43875" w:rsidRPr="004521C7">
        <w:rPr>
          <w:rFonts w:ascii="Times New Roman" w:hAnsi="Times New Roman" w:cs="Times New Roman"/>
          <w:iCs/>
          <w:sz w:val="24"/>
          <w:szCs w:val="24"/>
          <w:lang w:val="en-US"/>
        </w:rPr>
        <w:t xml:space="preserve"> something far exceeding the sc</w:t>
      </w:r>
      <w:r w:rsidR="00AE5ACC">
        <w:rPr>
          <w:rFonts w:ascii="Times New Roman" w:hAnsi="Times New Roman" w:cs="Times New Roman"/>
          <w:iCs/>
          <w:sz w:val="24"/>
          <w:szCs w:val="24"/>
          <w:lang w:val="en-US"/>
        </w:rPr>
        <w:t xml:space="preserve">ope of this analysis, prejudice –includingthe </w:t>
      </w:r>
      <w:r w:rsidR="00B43875" w:rsidRPr="004521C7">
        <w:rPr>
          <w:rFonts w:ascii="Times New Roman" w:hAnsi="Times New Roman" w:cs="Times New Roman"/>
          <w:iCs/>
          <w:sz w:val="24"/>
          <w:szCs w:val="24"/>
          <w:lang w:val="en-US"/>
        </w:rPr>
        <w:t xml:space="preserve">extreme </w:t>
      </w:r>
      <w:r w:rsidR="00AE5ACC">
        <w:rPr>
          <w:rFonts w:ascii="Times New Roman" w:hAnsi="Times New Roman" w:cs="Times New Roman"/>
          <w:iCs/>
          <w:sz w:val="24"/>
          <w:szCs w:val="24"/>
          <w:lang w:val="en-US"/>
        </w:rPr>
        <w:t>form of prejudice that can lead to the</w:t>
      </w:r>
      <w:r w:rsidR="00B43875" w:rsidRPr="004521C7">
        <w:rPr>
          <w:rFonts w:ascii="Times New Roman" w:hAnsi="Times New Roman" w:cs="Times New Roman"/>
          <w:iCs/>
          <w:sz w:val="24"/>
          <w:szCs w:val="24"/>
          <w:lang w:val="en-US"/>
        </w:rPr>
        <w:t xml:space="preserve"> perpetration of </w:t>
      </w:r>
      <w:r w:rsidR="00AE5ACC">
        <w:rPr>
          <w:rFonts w:ascii="Times New Roman" w:hAnsi="Times New Roman" w:cs="Times New Roman"/>
          <w:iCs/>
          <w:sz w:val="24"/>
          <w:szCs w:val="24"/>
          <w:lang w:val="en-US"/>
        </w:rPr>
        <w:t>a hate crime– does not take root overnight</w:t>
      </w:r>
      <w:r w:rsidR="00FE7416">
        <w:rPr>
          <w:rFonts w:ascii="Times New Roman" w:hAnsi="Times New Roman" w:cs="Times New Roman"/>
          <w:iCs/>
          <w:sz w:val="24"/>
          <w:szCs w:val="24"/>
          <w:lang w:val="en-US"/>
        </w:rPr>
        <w:t>.</w:t>
      </w:r>
      <w:r w:rsidR="00911459">
        <w:rPr>
          <w:rStyle w:val="Lbjegyzet-hivatkozs"/>
          <w:rFonts w:ascii="Times New Roman" w:hAnsi="Times New Roman" w:cs="Times New Roman"/>
          <w:iCs/>
          <w:sz w:val="24"/>
          <w:szCs w:val="24"/>
          <w:lang w:val="en-US"/>
        </w:rPr>
        <w:footnoteReference w:id="18"/>
      </w:r>
      <w:r w:rsidR="00FE7416">
        <w:rPr>
          <w:rFonts w:ascii="Times New Roman" w:hAnsi="Times New Roman" w:cs="Times New Roman"/>
          <w:iCs/>
          <w:sz w:val="24"/>
          <w:szCs w:val="24"/>
          <w:lang w:val="en-US"/>
        </w:rPr>
        <w:t xml:space="preserve"> For the same reason, hate crimes are not necessarily limited to a one-time victimization of their target(s)</w:t>
      </w:r>
      <w:r w:rsidR="0055174F">
        <w:rPr>
          <w:rFonts w:ascii="Times New Roman" w:hAnsi="Times New Roman" w:cs="Times New Roman"/>
          <w:iCs/>
          <w:sz w:val="24"/>
          <w:szCs w:val="24"/>
          <w:lang w:val="en-US"/>
        </w:rPr>
        <w:t>, which necessitates preventive measures so as to avoid such acts repeating in the future</w:t>
      </w:r>
      <w:r w:rsidR="00FE7416">
        <w:rPr>
          <w:rFonts w:ascii="Times New Roman" w:hAnsi="Times New Roman" w:cs="Times New Roman"/>
          <w:iCs/>
          <w:sz w:val="24"/>
          <w:szCs w:val="24"/>
          <w:lang w:val="en-US"/>
        </w:rPr>
        <w:t xml:space="preserve">. For instance, in the following case, the victim was patently </w:t>
      </w:r>
      <w:r w:rsidR="00C11315">
        <w:rPr>
          <w:rFonts w:ascii="Times New Roman" w:hAnsi="Times New Roman" w:cs="Times New Roman"/>
          <w:iCs/>
          <w:sz w:val="24"/>
          <w:szCs w:val="24"/>
          <w:lang w:val="en-US"/>
        </w:rPr>
        <w:t>assaulted</w:t>
      </w:r>
      <w:r w:rsidR="00FE7416">
        <w:rPr>
          <w:rFonts w:ascii="Times New Roman" w:hAnsi="Times New Roman" w:cs="Times New Roman"/>
          <w:iCs/>
          <w:sz w:val="24"/>
          <w:szCs w:val="24"/>
          <w:lang w:val="en-US"/>
        </w:rPr>
        <w:t xml:space="preserve"> due to their religious identity</w:t>
      </w:r>
      <w:r w:rsidR="00C11315">
        <w:rPr>
          <w:rFonts w:ascii="Times New Roman" w:hAnsi="Times New Roman" w:cs="Times New Roman"/>
          <w:iCs/>
          <w:sz w:val="24"/>
          <w:szCs w:val="24"/>
          <w:lang w:val="en-US"/>
        </w:rPr>
        <w:t xml:space="preserve"> on multiple </w:t>
      </w:r>
      <w:r w:rsidR="003D6FB0">
        <w:rPr>
          <w:rFonts w:ascii="Times New Roman" w:hAnsi="Times New Roman" w:cs="Times New Roman"/>
          <w:iCs/>
          <w:sz w:val="24"/>
          <w:szCs w:val="24"/>
          <w:lang w:val="en-US"/>
        </w:rPr>
        <w:t>occasions</w:t>
      </w:r>
      <w:r w:rsidR="00FE7416">
        <w:rPr>
          <w:rFonts w:ascii="Times New Roman" w:hAnsi="Times New Roman" w:cs="Times New Roman"/>
          <w:iCs/>
          <w:sz w:val="24"/>
          <w:szCs w:val="24"/>
          <w:lang w:val="en-US"/>
        </w:rPr>
        <w:t>:</w:t>
      </w:r>
    </w:p>
    <w:p w:rsidR="00115F69" w:rsidRDefault="00115F69" w:rsidP="00204DB2">
      <w:pPr>
        <w:ind w:firstLine="720"/>
        <w:jc w:val="both"/>
        <w:rPr>
          <w:rFonts w:ascii="Times New Roman" w:hAnsi="Times New Roman" w:cs="Times New Roman"/>
          <w:iCs/>
          <w:sz w:val="24"/>
          <w:szCs w:val="24"/>
          <w:lang w:val="en-US"/>
        </w:rPr>
      </w:pPr>
    </w:p>
    <w:tbl>
      <w:tblPr>
        <w:tblStyle w:val="MediumGrid1-Accent51"/>
        <w:tblW w:w="0" w:type="auto"/>
        <w:tblLook w:val="04A0"/>
      </w:tblPr>
      <w:tblGrid>
        <w:gridCol w:w="8440"/>
      </w:tblGrid>
      <w:tr w:rsidR="00FE7416" w:rsidRPr="00595388" w:rsidTr="00D231D8">
        <w:trPr>
          <w:cnfStyle w:val="100000000000"/>
        </w:trPr>
        <w:tc>
          <w:tcPr>
            <w:cnfStyle w:val="001000000000"/>
            <w:tcW w:w="8440" w:type="dxa"/>
          </w:tcPr>
          <w:p w:rsidR="00FE7416" w:rsidRPr="002800D4" w:rsidRDefault="00FE7416" w:rsidP="00D231D8">
            <w:pPr>
              <w:contextualSpacing/>
              <w:jc w:val="both"/>
              <w:rPr>
                <w:rFonts w:ascii="Verdana" w:eastAsia="MS Mincho" w:hAnsi="Verdana" w:cs="Times New Roman"/>
                <w:b w:val="0"/>
                <w:bCs w:val="0"/>
                <w:iCs/>
                <w:color w:val="943634"/>
                <w:sz w:val="19"/>
                <w:szCs w:val="19"/>
              </w:rPr>
            </w:pPr>
            <w:r w:rsidRPr="002800D4">
              <w:rPr>
                <w:rFonts w:ascii="Verdana" w:eastAsia="MS Mincho" w:hAnsi="Verdana" w:cs="Times New Roman"/>
                <w:b w:val="0"/>
                <w:color w:val="943634"/>
                <w:sz w:val="19"/>
                <w:szCs w:val="19"/>
              </w:rPr>
              <w:t xml:space="preserve">European Court of Human Rights, </w:t>
            </w:r>
            <w:r w:rsidRPr="002800D4">
              <w:rPr>
                <w:rFonts w:ascii="Verdana" w:eastAsia="MS Mincho" w:hAnsi="Verdana" w:cs="Times New Roman"/>
                <w:b w:val="0"/>
                <w:iCs/>
                <w:color w:val="943634"/>
                <w:sz w:val="19"/>
                <w:szCs w:val="19"/>
              </w:rPr>
              <w:t>CASE MILANOVIĆ v. SERBIA</w:t>
            </w:r>
            <w:r w:rsidRPr="002800D4">
              <w:rPr>
                <w:rFonts w:ascii="Verdana" w:eastAsia="MS Mincho" w:hAnsi="Verdana" w:cs="Times New Roman"/>
                <w:b w:val="0"/>
                <w:color w:val="943634"/>
                <w:sz w:val="19"/>
                <w:szCs w:val="19"/>
              </w:rPr>
              <w:t xml:space="preserve">, </w:t>
            </w:r>
            <w:r w:rsidRPr="002800D4">
              <w:rPr>
                <w:rFonts w:ascii="Verdana" w:eastAsia="MS Mincho" w:hAnsi="Verdana" w:cs="Times New Roman"/>
                <w:b w:val="0"/>
                <w:i/>
                <w:iCs/>
                <w:color w:val="943634"/>
                <w:sz w:val="19"/>
                <w:szCs w:val="19"/>
              </w:rPr>
              <w:t>Application no. 44614/07</w:t>
            </w:r>
            <w:r w:rsidRPr="002800D4">
              <w:rPr>
                <w:rFonts w:ascii="Verdana" w:eastAsia="MS Mincho" w:hAnsi="Verdana" w:cs="Times New Roman"/>
                <w:b w:val="0"/>
                <w:iCs/>
                <w:color w:val="943634"/>
                <w:sz w:val="19"/>
                <w:szCs w:val="19"/>
              </w:rPr>
              <w:t>, Judgment of 20 June 2011 (</w:t>
            </w:r>
            <w:hyperlink r:id="rId10" w:history="1">
              <w:r w:rsidRPr="002800D4">
                <w:rPr>
                  <w:rStyle w:val="Hiperhivatkozs"/>
                  <w:b w:val="0"/>
                  <w:iCs/>
                  <w:lang w:val="en-GB"/>
                </w:rPr>
                <w:t>link</w:t>
              </w:r>
            </w:hyperlink>
            <w:r w:rsidRPr="002800D4">
              <w:rPr>
                <w:rFonts w:ascii="Verdana" w:eastAsia="MS Mincho" w:hAnsi="Verdana" w:cs="Times New Roman"/>
                <w:b w:val="0"/>
                <w:iCs/>
                <w:color w:val="943634"/>
                <w:sz w:val="19"/>
                <w:szCs w:val="19"/>
              </w:rPr>
              <w:t>)</w:t>
            </w:r>
          </w:p>
          <w:p w:rsidR="00FE7416" w:rsidRPr="005A2D6B" w:rsidRDefault="00FE7416" w:rsidP="00D231D8">
            <w:pPr>
              <w:contextualSpacing/>
              <w:jc w:val="both"/>
              <w:rPr>
                <w:rFonts w:ascii="Verdana" w:eastAsia="MS Mincho" w:hAnsi="Verdana" w:cs="Times New Roman"/>
                <w:sz w:val="18"/>
                <w:szCs w:val="18"/>
                <w:u w:val="single"/>
              </w:rPr>
            </w:pPr>
          </w:p>
          <w:p w:rsidR="00FE7416" w:rsidRPr="00C10C04" w:rsidRDefault="00FE7416" w:rsidP="0069710D">
            <w:pPr>
              <w:contextualSpacing/>
              <w:jc w:val="both"/>
              <w:rPr>
                <w:rFonts w:ascii="Verdana" w:eastAsia="MS Mincho" w:hAnsi="Verdana" w:cs="Times New Roman"/>
                <w:b w:val="0"/>
                <w:bCs w:val="0"/>
                <w:sz w:val="18"/>
                <w:szCs w:val="18"/>
              </w:rPr>
            </w:pPr>
            <w:r>
              <w:rPr>
                <w:rFonts w:ascii="Verdana" w:eastAsia="MS Mincho" w:hAnsi="Verdana" w:cs="Times New Roman"/>
                <w:sz w:val="18"/>
                <w:szCs w:val="18"/>
                <w:u w:val="single"/>
              </w:rPr>
              <w:t>Facts</w:t>
            </w:r>
            <w:r>
              <w:rPr>
                <w:rFonts w:ascii="Verdana" w:eastAsia="MS Mincho" w:hAnsi="Verdana" w:cs="Times New Roman"/>
                <w:sz w:val="18"/>
                <w:szCs w:val="18"/>
              </w:rPr>
              <w:t xml:space="preserve">: </w:t>
            </w:r>
            <w:r w:rsidRPr="00C10C04">
              <w:rPr>
                <w:rFonts w:ascii="Verdana" w:eastAsia="MS Mincho" w:hAnsi="Verdana" w:cs="Times New Roman"/>
                <w:b w:val="0"/>
                <w:sz w:val="18"/>
                <w:szCs w:val="18"/>
              </w:rPr>
              <w:t xml:space="preserve">The applicant, a leading member of the Vaishnava Hindu religious community in Serbia, otherwise known as Hare Krishna, began receiving anonymous threatening phone calls in 2000-2001. In 2001 (September), he was attacked two times; once, seemingly by an assailant with a </w:t>
            </w:r>
            <w:r w:rsidR="008953DD">
              <w:rPr>
                <w:rFonts w:ascii="Verdana" w:eastAsia="MS Mincho" w:hAnsi="Verdana" w:cs="Times New Roman"/>
                <w:b w:val="0"/>
                <w:sz w:val="18"/>
                <w:szCs w:val="18"/>
              </w:rPr>
              <w:t xml:space="preserve">(baseball) </w:t>
            </w:r>
            <w:r w:rsidRPr="00C10C04">
              <w:rPr>
                <w:rFonts w:ascii="Verdana" w:eastAsia="MS Mincho" w:hAnsi="Verdana" w:cs="Times New Roman"/>
                <w:b w:val="0"/>
                <w:sz w:val="18"/>
                <w:szCs w:val="18"/>
              </w:rPr>
              <w:t xml:space="preserve">bat, and a second, by an assailant with a knife. In 2005 (July), the applicant suffered another attack (stabbed in his abdomen). In 2006 (June) the applicant was attacked, yet again, with the assailant stabbing him in the abdomen and </w:t>
            </w:r>
            <w:r w:rsidRPr="00C10C04">
              <w:rPr>
                <w:rFonts w:ascii="Verdana" w:eastAsia="MS Mincho" w:hAnsi="Verdana" w:cs="Times New Roman"/>
                <w:sz w:val="18"/>
                <w:szCs w:val="18"/>
              </w:rPr>
              <w:t>scratching a crucifix on his head</w:t>
            </w:r>
            <w:r w:rsidRPr="00C10C04">
              <w:rPr>
                <w:rFonts w:ascii="Verdana" w:eastAsia="MS Mincho" w:hAnsi="Verdana" w:cs="Times New Roman"/>
                <w:b w:val="0"/>
                <w:sz w:val="18"/>
                <w:szCs w:val="18"/>
              </w:rPr>
              <w:t xml:space="preserve">. Lastly, in 2007 (June), the applicant was assaulted once again and stabbed </w:t>
            </w:r>
            <w:r w:rsidR="0069710D">
              <w:rPr>
                <w:rFonts w:ascii="Verdana" w:eastAsia="MS Mincho" w:hAnsi="Verdana" w:cs="Times New Roman"/>
                <w:b w:val="0"/>
                <w:sz w:val="18"/>
                <w:szCs w:val="18"/>
              </w:rPr>
              <w:t>at the</w:t>
            </w:r>
            <w:r w:rsidRPr="00C10C04">
              <w:rPr>
                <w:rFonts w:ascii="Verdana" w:eastAsia="MS Mincho" w:hAnsi="Verdana" w:cs="Times New Roman"/>
                <w:b w:val="0"/>
                <w:sz w:val="18"/>
                <w:szCs w:val="18"/>
              </w:rPr>
              <w:t xml:space="preserve"> chest, hands and legs. On all occasions, the police had failed to identify and bring the perpetrators to justice.</w:t>
            </w:r>
            <w:r>
              <w:rPr>
                <w:rFonts w:ascii="Verdana" w:eastAsia="MS Mincho" w:hAnsi="Verdana" w:cs="Times New Roman"/>
                <w:b w:val="0"/>
                <w:sz w:val="18"/>
                <w:szCs w:val="18"/>
              </w:rPr>
              <w:t>M</w:t>
            </w:r>
            <w:r w:rsidRPr="00C10C04">
              <w:rPr>
                <w:rFonts w:ascii="Verdana" w:eastAsia="MS Mincho" w:hAnsi="Verdana" w:cs="Times New Roman"/>
                <w:b w:val="0"/>
                <w:sz w:val="18"/>
                <w:szCs w:val="18"/>
              </w:rPr>
              <w:t>ost of the attacks against the applicant had been reported around Vidovdan, a major orthodox religious holiday</w:t>
            </w:r>
            <w:r>
              <w:rPr>
                <w:rFonts w:ascii="Verdana" w:eastAsia="MS Mincho" w:hAnsi="Verdana" w:cs="Times New Roman"/>
                <w:b w:val="0"/>
                <w:sz w:val="18"/>
                <w:szCs w:val="18"/>
              </w:rPr>
              <w:t>.</w:t>
            </w:r>
          </w:p>
          <w:p w:rsidR="0055174F" w:rsidRPr="00C51E42" w:rsidRDefault="0055174F" w:rsidP="00D231D8">
            <w:pPr>
              <w:contextualSpacing/>
              <w:jc w:val="both"/>
              <w:rPr>
                <w:rFonts w:ascii="Verdana" w:eastAsia="MS Mincho" w:hAnsi="Verdana" w:cs="Times New Roman"/>
                <w:b w:val="0"/>
                <w:sz w:val="18"/>
                <w:szCs w:val="18"/>
                <w:u w:val="single"/>
              </w:rPr>
            </w:pPr>
          </w:p>
          <w:p w:rsidR="00FE7416" w:rsidRPr="000D5E23" w:rsidRDefault="00FE7416" w:rsidP="00D231D8">
            <w:pPr>
              <w:contextualSpacing/>
              <w:jc w:val="both"/>
              <w:rPr>
                <w:rFonts w:ascii="Verdana" w:eastAsia="MS Mincho" w:hAnsi="Verdana" w:cs="Times New Roman"/>
                <w:b w:val="0"/>
                <w:sz w:val="18"/>
                <w:szCs w:val="18"/>
                <w:lang w:val="en-GB"/>
              </w:rPr>
            </w:pPr>
            <w:r w:rsidRPr="005A2D6B">
              <w:rPr>
                <w:rFonts w:ascii="Verdana" w:eastAsia="MS Mincho" w:hAnsi="Verdana" w:cs="Times New Roman"/>
                <w:sz w:val="18"/>
                <w:szCs w:val="18"/>
                <w:u w:val="single"/>
                <w:lang w:val="en-GB"/>
              </w:rPr>
              <w:t>Analysis</w:t>
            </w:r>
            <w:r w:rsidRPr="005A2D6B">
              <w:rPr>
                <w:rFonts w:ascii="Verdana" w:eastAsia="MS Mincho" w:hAnsi="Verdana" w:cs="Times New Roman"/>
                <w:sz w:val="18"/>
                <w:szCs w:val="18"/>
                <w:lang w:val="en-GB"/>
              </w:rPr>
              <w:t>:</w:t>
            </w:r>
            <w:r w:rsidR="0055174F" w:rsidRPr="0055174F">
              <w:rPr>
                <w:rFonts w:ascii="Verdana" w:eastAsia="MS Mincho" w:hAnsi="Verdana" w:cs="Times New Roman"/>
                <w:b w:val="0"/>
                <w:sz w:val="18"/>
                <w:szCs w:val="18"/>
                <w:lang w:val="en-GB"/>
              </w:rPr>
              <w:t>Inter alia,</w:t>
            </w:r>
            <w:r w:rsidR="0055174F">
              <w:rPr>
                <w:rFonts w:ascii="Verdana" w:eastAsia="MS Mincho" w:hAnsi="Verdana" w:cs="Times New Roman"/>
                <w:b w:val="0"/>
                <w:sz w:val="18"/>
                <w:szCs w:val="18"/>
                <w:lang w:val="en-GB"/>
              </w:rPr>
              <w:t>t</w:t>
            </w:r>
            <w:r w:rsidR="0055174F" w:rsidRPr="0055174F">
              <w:rPr>
                <w:rFonts w:ascii="Verdana" w:eastAsia="MS Mincho" w:hAnsi="Verdana" w:cs="Times New Roman"/>
                <w:b w:val="0"/>
                <w:sz w:val="18"/>
                <w:szCs w:val="18"/>
                <w:lang w:val="en-GB"/>
              </w:rPr>
              <w:t xml:space="preserve">he Court considered </w:t>
            </w:r>
            <w:r w:rsidR="0055174F">
              <w:rPr>
                <w:rFonts w:ascii="Verdana" w:eastAsia="MS Mincho" w:hAnsi="Verdana" w:cs="Times New Roman"/>
                <w:b w:val="0"/>
                <w:sz w:val="18"/>
                <w:szCs w:val="18"/>
                <w:lang w:val="en-GB"/>
              </w:rPr>
              <w:t>that the authorities</w:t>
            </w:r>
            <w:r w:rsidR="0055174F" w:rsidRPr="0055174F">
              <w:rPr>
                <w:rFonts w:ascii="Verdana" w:eastAsia="MS Mincho" w:hAnsi="Verdana" w:cs="Times New Roman"/>
                <w:b w:val="0"/>
                <w:sz w:val="18"/>
                <w:szCs w:val="18"/>
                <w:lang w:val="en-GB"/>
              </w:rPr>
              <w:t xml:space="preserve"> had not taken all reasonable measures to conduct an adequate investigation and</w:t>
            </w:r>
            <w:r w:rsidR="0055174F">
              <w:rPr>
                <w:rFonts w:ascii="Verdana" w:eastAsia="MS Mincho" w:hAnsi="Verdana" w:cs="Times New Roman"/>
                <w:b w:val="0"/>
                <w:sz w:val="18"/>
                <w:szCs w:val="18"/>
                <w:lang w:val="en-GB"/>
              </w:rPr>
              <w:t xml:space="preserve"> that</w:t>
            </w:r>
            <w:r w:rsidR="0055174F" w:rsidRPr="0055174F">
              <w:rPr>
                <w:rFonts w:ascii="Verdana" w:eastAsia="MS Mincho" w:hAnsi="Verdana" w:cs="Times New Roman"/>
                <w:b w:val="0"/>
                <w:sz w:val="18"/>
                <w:szCs w:val="18"/>
                <w:lang w:val="en-GB"/>
              </w:rPr>
              <w:t xml:space="preserve"> they had failed to take effective steps in order to prevent Mr Milanović’s repeated illtreatment</w:t>
            </w:r>
            <w:r w:rsidR="0055174F">
              <w:rPr>
                <w:rFonts w:ascii="Verdana" w:eastAsia="MS Mincho" w:hAnsi="Verdana" w:cs="Times New Roman"/>
                <w:b w:val="0"/>
                <w:sz w:val="18"/>
                <w:szCs w:val="18"/>
                <w:lang w:val="en-GB"/>
              </w:rPr>
              <w:t>.</w:t>
            </w:r>
            <w:r w:rsidRPr="000D5E23">
              <w:rPr>
                <w:rFonts w:ascii="Verdana" w:eastAsia="MS Mincho" w:hAnsi="Verdana" w:cs="Times New Roman"/>
                <w:b w:val="0"/>
                <w:sz w:val="18"/>
                <w:szCs w:val="18"/>
                <w:lang w:val="en-GB"/>
              </w:rPr>
              <w:t>In their repor</w:t>
            </w:r>
            <w:r w:rsidR="0055174F">
              <w:rPr>
                <w:rFonts w:ascii="Verdana" w:eastAsia="MS Mincho" w:hAnsi="Verdana" w:cs="Times New Roman"/>
                <w:b w:val="0"/>
                <w:sz w:val="18"/>
                <w:szCs w:val="18"/>
                <w:lang w:val="en-GB"/>
              </w:rPr>
              <w:t>t of 12 April 2010,</w:t>
            </w:r>
            <w:r w:rsidRPr="000D5E23">
              <w:rPr>
                <w:rFonts w:ascii="Verdana" w:eastAsia="MS Mincho" w:hAnsi="Verdana" w:cs="Times New Roman"/>
                <w:b w:val="0"/>
                <w:sz w:val="18"/>
                <w:szCs w:val="18"/>
                <w:lang w:val="en-GB"/>
              </w:rPr>
              <w:t xml:space="preserve"> the police</w:t>
            </w:r>
            <w:r w:rsidR="0055174F">
              <w:rPr>
                <w:rFonts w:ascii="Verdana" w:eastAsia="MS Mincho" w:hAnsi="Verdana" w:cs="Times New Roman"/>
                <w:b w:val="0"/>
                <w:sz w:val="18"/>
                <w:szCs w:val="18"/>
                <w:lang w:val="en-GB"/>
              </w:rPr>
              <w:t xml:space="preserve"> had, amongst others,</w:t>
            </w:r>
            <w:r w:rsidRPr="000D5E23">
              <w:rPr>
                <w:rFonts w:ascii="Verdana" w:eastAsia="MS Mincho" w:hAnsi="Verdana" w:cs="Times New Roman"/>
                <w:b w:val="0"/>
                <w:sz w:val="18"/>
                <w:szCs w:val="18"/>
                <w:lang w:val="en-GB"/>
              </w:rPr>
              <w:t xml:space="preserve"> noted that: (a) most of the attacks against the applicant had been reported around Vidovdan, a major orthodox religious holiday; (b) the applicant had subsequently publicised these incidents through the mass media and, whilst so doing, “emphasised” his own religious affiliation; (c) the nature of the applicant's injuries had been such that their self-infliction could not be excluded; and (d) the injuries had all been very shallow, which could be considered peculiar and would imply great skill on the part of the applicant's attackers who had never managed to hold him down but had “assailed him from a distance”. </w:t>
            </w:r>
            <w:r w:rsidR="0055174F" w:rsidRPr="0055174F">
              <w:rPr>
                <w:rFonts w:ascii="Verdana" w:eastAsia="MS Mincho" w:hAnsi="Verdana" w:cs="Times New Roman"/>
                <w:b w:val="0"/>
                <w:sz w:val="18"/>
                <w:szCs w:val="18"/>
                <w:lang w:val="en-GB"/>
              </w:rPr>
              <w:t>The statements mad</w:t>
            </w:r>
            <w:r w:rsidR="0055174F">
              <w:rPr>
                <w:rFonts w:ascii="Verdana" w:eastAsia="MS Mincho" w:hAnsi="Verdana" w:cs="Times New Roman"/>
                <w:b w:val="0"/>
                <w:sz w:val="18"/>
                <w:szCs w:val="18"/>
                <w:lang w:val="en-GB"/>
              </w:rPr>
              <w:t>e by the police</w:t>
            </w:r>
            <w:r w:rsidR="0055174F" w:rsidRPr="0055174F">
              <w:rPr>
                <w:rFonts w:ascii="Verdana" w:eastAsia="MS Mincho" w:hAnsi="Verdana" w:cs="Times New Roman"/>
                <w:b w:val="0"/>
                <w:sz w:val="18"/>
                <w:szCs w:val="18"/>
                <w:lang w:val="en-GB"/>
              </w:rPr>
              <w:t>,</w:t>
            </w:r>
            <w:r w:rsidR="0055174F">
              <w:rPr>
                <w:rFonts w:ascii="Verdana" w:eastAsia="MS Mincho" w:hAnsi="Verdana" w:cs="Times New Roman"/>
                <w:b w:val="0"/>
                <w:sz w:val="18"/>
                <w:szCs w:val="18"/>
                <w:lang w:val="en-GB"/>
              </w:rPr>
              <w:t xml:space="preserve"> however, with respect </w:t>
            </w:r>
            <w:r w:rsidR="0055174F" w:rsidRPr="0055174F">
              <w:rPr>
                <w:rFonts w:ascii="Verdana" w:eastAsia="MS Mincho" w:hAnsi="Verdana" w:cs="Times New Roman"/>
                <w:b w:val="0"/>
                <w:sz w:val="18"/>
                <w:szCs w:val="18"/>
                <w:lang w:val="en-GB"/>
              </w:rPr>
              <w:t>to Mr Milanović’s beliefs, his appearance and the fact that he had publicised the incidents in the media, implied that they had doubts as to whether he was a genuine victim in respect of his religion. As a consequence, although the authorities had explored several leads proposed by Mr Milanović concerning the motivation of his attackers these steps amounted to little more than a pro forma investigation.</w:t>
            </w:r>
          </w:p>
          <w:p w:rsidR="00FE7416" w:rsidRPr="000E3435" w:rsidRDefault="00FE7416" w:rsidP="00D231D8">
            <w:pPr>
              <w:contextualSpacing/>
              <w:jc w:val="both"/>
              <w:rPr>
                <w:rFonts w:ascii="Verdana" w:eastAsia="MS Mincho" w:hAnsi="Verdana" w:cs="Times New Roman"/>
                <w:b w:val="0"/>
                <w:color w:val="0000FF"/>
                <w:sz w:val="18"/>
                <w:szCs w:val="18"/>
                <w:u w:val="single"/>
                <w:lang w:val="en-GB"/>
              </w:rPr>
            </w:pPr>
          </w:p>
          <w:p w:rsidR="00FE7416" w:rsidRPr="008A5DC8" w:rsidRDefault="00FE7416" w:rsidP="00D231D8">
            <w:pPr>
              <w:contextualSpacing/>
              <w:jc w:val="both"/>
              <w:rPr>
                <w:rFonts w:ascii="Verdana" w:eastAsia="MS Mincho" w:hAnsi="Verdana" w:cs="Times New Roman"/>
                <w:b w:val="0"/>
                <w:sz w:val="18"/>
                <w:szCs w:val="18"/>
                <w:lang w:val="en-GB"/>
              </w:rPr>
            </w:pPr>
          </w:p>
          <w:p w:rsidR="00FE7416" w:rsidRPr="000D5E23" w:rsidRDefault="00FE7416" w:rsidP="00D231D8">
            <w:pPr>
              <w:ind w:left="720"/>
              <w:contextualSpacing/>
              <w:jc w:val="both"/>
              <w:rPr>
                <w:rFonts w:ascii="Verdana" w:eastAsia="MS Mincho" w:hAnsi="Verdana" w:cs="Times New Roman"/>
                <w:b w:val="0"/>
                <w:i/>
                <w:sz w:val="18"/>
                <w:szCs w:val="18"/>
                <w:lang w:val="en-GB"/>
              </w:rPr>
            </w:pPr>
            <w:r w:rsidRPr="000D5E23">
              <w:rPr>
                <w:rFonts w:ascii="Verdana" w:eastAsia="MS Mincho" w:hAnsi="Verdana" w:cs="Times New Roman"/>
                <w:b w:val="0"/>
                <w:i/>
                <w:sz w:val="18"/>
                <w:szCs w:val="18"/>
                <w:u w:val="single"/>
              </w:rPr>
              <w:t>Para. 89</w:t>
            </w:r>
            <w:r w:rsidRPr="000D5E23">
              <w:rPr>
                <w:rFonts w:ascii="Verdana" w:eastAsia="MS Mincho" w:hAnsi="Verdana" w:cs="Times New Roman"/>
                <w:b w:val="0"/>
                <w:i/>
                <w:sz w:val="18"/>
                <w:szCs w:val="18"/>
              </w:rPr>
              <w:t>:</w:t>
            </w:r>
            <w:r w:rsidR="00115F69">
              <w:rPr>
                <w:rFonts w:ascii="Verdana" w:eastAsia="MS Mincho" w:hAnsi="Verdana" w:cs="Times New Roman"/>
                <w:b w:val="0"/>
                <w:i/>
                <w:sz w:val="18"/>
                <w:szCs w:val="18"/>
                <w:lang w:val="en-GB"/>
              </w:rPr>
              <w:t xml:space="preserve"> …</w:t>
            </w:r>
            <w:r w:rsidRPr="000D5E23">
              <w:rPr>
                <w:rFonts w:ascii="Verdana" w:eastAsia="MS Mincho" w:hAnsi="Verdana" w:cs="Times New Roman"/>
                <w:b w:val="0"/>
                <w:i/>
                <w:sz w:val="18"/>
                <w:szCs w:val="18"/>
                <w:lang w:val="en-GB"/>
              </w:rPr>
              <w:t>as of July 2005, at the latest,</w:t>
            </w:r>
            <w:r w:rsidRPr="00115F69">
              <w:rPr>
                <w:rFonts w:ascii="Verdana" w:eastAsia="MS Mincho" w:hAnsi="Verdana" w:cs="Times New Roman"/>
                <w:i/>
                <w:sz w:val="18"/>
                <w:szCs w:val="18"/>
                <w:lang w:val="en-GB"/>
              </w:rPr>
              <w:t xml:space="preserve"> it should have been obvious to the police that the applicant, who was a member of a vulnerable religious minority</w:t>
            </w:r>
            <w:r w:rsidRPr="000D5E23">
              <w:rPr>
                <w:rFonts w:ascii="Verdana" w:eastAsia="MS Mincho" w:hAnsi="Verdana" w:cs="Times New Roman"/>
                <w:b w:val="0"/>
                <w:i/>
                <w:sz w:val="18"/>
                <w:szCs w:val="18"/>
                <w:lang w:val="en-GB"/>
              </w:rPr>
              <w:t xml:space="preserve"> (see, mutatis mutandis, Okkali v. Turkey, no. 52067/99, § 70, ECHR 2006-XII (extracts)), </w:t>
            </w:r>
            <w:r w:rsidRPr="00115F69">
              <w:rPr>
                <w:rFonts w:ascii="Verdana" w:eastAsia="MS Mincho" w:hAnsi="Verdana" w:cs="Times New Roman"/>
                <w:i/>
                <w:sz w:val="18"/>
                <w:szCs w:val="18"/>
                <w:lang w:val="en-GB"/>
              </w:rPr>
              <w:t>was being systematically targeted and that future attacks were very likely to follow, particularly in June or July of each year in advance of or shortly after a major religious holiday</w:t>
            </w:r>
            <w:r w:rsidRPr="000D5E23">
              <w:rPr>
                <w:rFonts w:ascii="Verdana" w:eastAsia="MS Mincho" w:hAnsi="Verdana" w:cs="Times New Roman"/>
                <w:b w:val="0"/>
                <w:i/>
                <w:sz w:val="18"/>
                <w:szCs w:val="18"/>
                <w:lang w:val="en-GB"/>
              </w:rPr>
              <w:t xml:space="preserve"> (see paragraph 64 above). Yet, nothing was done to prevent such attacks on another two occasions. No video or other surveillance was ever put in place in the vicinity of the flat where the incidents had occurred, no police stakeout seems to have even been contemplated, and the applicant was never offered protection by a special security detail which might have deterred his future assailants. </w:t>
            </w:r>
          </w:p>
          <w:p w:rsidR="00FE7416" w:rsidRDefault="00FE7416" w:rsidP="00D231D8">
            <w:pPr>
              <w:ind w:left="720"/>
              <w:contextualSpacing/>
              <w:jc w:val="both"/>
              <w:rPr>
                <w:rFonts w:ascii="Verdana" w:eastAsia="MS Mincho" w:hAnsi="Verdana" w:cs="Times New Roman"/>
                <w:b w:val="0"/>
                <w:i/>
                <w:sz w:val="18"/>
                <w:szCs w:val="18"/>
                <w:lang w:val="en-GB"/>
              </w:rPr>
            </w:pPr>
          </w:p>
          <w:p w:rsidR="00FE7416" w:rsidRPr="000D5E23" w:rsidRDefault="00FE7416" w:rsidP="00D231D8">
            <w:pPr>
              <w:ind w:left="720"/>
              <w:contextualSpacing/>
              <w:jc w:val="both"/>
              <w:rPr>
                <w:rFonts w:ascii="Verdana" w:eastAsia="MS Mincho" w:hAnsi="Verdana" w:cs="Times New Roman"/>
                <w:b w:val="0"/>
                <w:i/>
                <w:sz w:val="18"/>
                <w:szCs w:val="18"/>
              </w:rPr>
            </w:pPr>
            <w:r w:rsidRPr="000D5E23">
              <w:rPr>
                <w:rFonts w:ascii="Verdana" w:eastAsia="MS Mincho" w:hAnsi="Verdana" w:cs="Times New Roman"/>
                <w:b w:val="0"/>
                <w:i/>
                <w:sz w:val="18"/>
                <w:szCs w:val="18"/>
                <w:u w:val="single"/>
                <w:lang w:val="en-GB"/>
              </w:rPr>
              <w:t>Para. 90</w:t>
            </w:r>
            <w:r w:rsidRPr="000D5E23">
              <w:rPr>
                <w:rFonts w:ascii="Verdana" w:eastAsia="MS Mincho" w:hAnsi="Verdana" w:cs="Times New Roman"/>
                <w:b w:val="0"/>
                <w:i/>
                <w:sz w:val="18"/>
                <w:szCs w:val="18"/>
                <w:lang w:val="en-GB"/>
              </w:rPr>
              <w:t>:</w:t>
            </w:r>
            <w:r w:rsidRPr="000D5E23">
              <w:rPr>
                <w:rFonts w:ascii="Verdana" w:eastAsia="MS Mincho" w:hAnsi="Verdana" w:cs="Times New Roman"/>
                <w:b w:val="0"/>
                <w:i/>
                <w:sz w:val="18"/>
                <w:szCs w:val="18"/>
              </w:rPr>
              <w:t xml:space="preserve"> In view of the foregoing and while the respondent State's authorities took many steps and encountered significant objective difficulties, including the applicant's somewhat vague descriptions of the attackers as well as the apparent lack of eyewitnesses, the Court considers that they did not take all reasonable measures to conduct an adequate investigation. They have also failed to take any reasonable and effective steps in order to prevent the applicant's repeated ill-treatment, notwithstanding the fact that the continuing risk thereof was real, immediate and predictable.</w:t>
            </w:r>
          </w:p>
          <w:p w:rsidR="00FE7416" w:rsidRDefault="00FE7416" w:rsidP="00D231D8">
            <w:pPr>
              <w:ind w:left="720"/>
              <w:contextualSpacing/>
              <w:jc w:val="both"/>
              <w:rPr>
                <w:rFonts w:ascii="Verdana" w:eastAsia="MS Mincho" w:hAnsi="Verdana" w:cs="Times New Roman"/>
                <w:sz w:val="18"/>
                <w:szCs w:val="18"/>
              </w:rPr>
            </w:pPr>
          </w:p>
          <w:p w:rsidR="00FE7416" w:rsidRPr="000D5E23" w:rsidRDefault="00FE7416" w:rsidP="00D231D8">
            <w:pPr>
              <w:ind w:left="720"/>
              <w:contextualSpacing/>
              <w:jc w:val="both"/>
              <w:rPr>
                <w:rFonts w:ascii="Verdana" w:eastAsia="MS Mincho" w:hAnsi="Verdana" w:cs="Times New Roman"/>
                <w:b w:val="0"/>
                <w:i/>
                <w:sz w:val="18"/>
                <w:szCs w:val="18"/>
              </w:rPr>
            </w:pPr>
            <w:r w:rsidRPr="000D5E23">
              <w:rPr>
                <w:rFonts w:ascii="Verdana" w:eastAsia="MS Mincho" w:hAnsi="Verdana" w:cs="Times New Roman"/>
                <w:b w:val="0"/>
                <w:i/>
                <w:sz w:val="18"/>
                <w:szCs w:val="18"/>
                <w:u w:val="single"/>
              </w:rPr>
              <w:t>Para. 100</w:t>
            </w:r>
            <w:r w:rsidRPr="000D5E23">
              <w:rPr>
                <w:rFonts w:ascii="Verdana" w:eastAsia="MS Mincho" w:hAnsi="Verdana" w:cs="Times New Roman"/>
                <w:b w:val="0"/>
                <w:i/>
                <w:sz w:val="18"/>
                <w:szCs w:val="18"/>
              </w:rPr>
              <w:t>:  Finally, though perhaps most importantly, it is noted that the police themselves referred to the applicant's well-known religious beliefs, as well as his “strange appearance”, and apparently attached particular significance to “the fact” that most of the attacks against him had been reported before or after a major orthodox religious holiday, which incidents the applicant subsequently publicised through the mass media in the context of his own religious affiliation (see paragraphs 22 and 64 above). The Court considers, once again, that such views alone imply that the police had serious doubts, related to the applicant's religion, as to whether he was a genuine victim, notwithstanding that there was no evidence to warrant doubts of this sort. It follows that even though the authorities had explored several leads proposed by the applicant concerning the underlying motivation of his attackers these steps amounted to little more than a pro forma investigation.</w:t>
            </w:r>
          </w:p>
        </w:tc>
      </w:tr>
    </w:tbl>
    <w:p w:rsidR="00FE7416" w:rsidRPr="00FE7416" w:rsidRDefault="00FE7416" w:rsidP="00FE7416">
      <w:pPr>
        <w:jc w:val="both"/>
        <w:rPr>
          <w:rFonts w:ascii="Times New Roman" w:hAnsi="Times New Roman" w:cs="Times New Roman"/>
          <w:iCs/>
          <w:sz w:val="24"/>
          <w:szCs w:val="24"/>
          <w:lang w:val="en-GB"/>
        </w:rPr>
      </w:pPr>
    </w:p>
    <w:p w:rsidR="00204DB2" w:rsidRPr="00925EE6" w:rsidRDefault="00F53BB3" w:rsidP="00F96F17">
      <w:pPr>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Similarly, and contrary to </w:t>
      </w:r>
      <w:r w:rsidR="00AE5ACC">
        <w:rPr>
          <w:rFonts w:ascii="Times New Roman" w:hAnsi="Times New Roman" w:cs="Times New Roman"/>
          <w:iCs/>
          <w:sz w:val="24"/>
          <w:szCs w:val="24"/>
          <w:lang w:val="en-US"/>
        </w:rPr>
        <w:t>common belief that the type of mentality underlying a hate crime is to be found solely in the sphere of radicalism (e.</w:t>
      </w:r>
      <w:r w:rsidR="00E15EC9">
        <w:rPr>
          <w:rFonts w:ascii="Times New Roman" w:hAnsi="Times New Roman" w:cs="Times New Roman"/>
          <w:iCs/>
          <w:sz w:val="24"/>
          <w:szCs w:val="24"/>
          <w:lang w:val="en-US"/>
        </w:rPr>
        <w:t xml:space="preserve">g. the far right), delinquency or even </w:t>
      </w:r>
      <w:r w:rsidR="00E15EC9">
        <w:rPr>
          <w:rFonts w:ascii="Times New Roman" w:hAnsi="Times New Roman" w:cs="Times New Roman"/>
          <w:iCs/>
          <w:sz w:val="24"/>
          <w:szCs w:val="24"/>
          <w:lang w:val="en-GB"/>
        </w:rPr>
        <w:t xml:space="preserve">illiteracy –the presupposition being that education serves to extinguish savagery from peoples’ minds– </w:t>
      </w:r>
      <w:r w:rsidR="006B68AE">
        <w:rPr>
          <w:rFonts w:ascii="Times New Roman" w:hAnsi="Times New Roman" w:cs="Times New Roman"/>
          <w:iCs/>
          <w:sz w:val="24"/>
          <w:szCs w:val="24"/>
          <w:lang w:val="en-GB"/>
        </w:rPr>
        <w:t>such mentality is not to</w:t>
      </w:r>
      <w:r w:rsidR="00E15EC9">
        <w:rPr>
          <w:rFonts w:ascii="Times New Roman" w:hAnsi="Times New Roman" w:cs="Times New Roman"/>
          <w:iCs/>
          <w:sz w:val="24"/>
          <w:szCs w:val="24"/>
          <w:lang w:val="en-GB"/>
        </w:rPr>
        <w:t xml:space="preserve"> be exclusively found in the marginal and/or marginalised societal strata. </w:t>
      </w:r>
      <w:r w:rsidR="00FD16D5" w:rsidRPr="004521C7">
        <w:rPr>
          <w:rFonts w:ascii="Times New Roman" w:hAnsi="Times New Roman" w:cs="Times New Roman"/>
          <w:iCs/>
          <w:sz w:val="24"/>
          <w:szCs w:val="24"/>
          <w:lang w:val="en-US"/>
        </w:rPr>
        <w:t xml:space="preserve">On the contrary, factors </w:t>
      </w:r>
      <w:r w:rsidR="00091F15" w:rsidRPr="004521C7">
        <w:rPr>
          <w:rFonts w:ascii="Times New Roman" w:hAnsi="Times New Roman" w:cs="Times New Roman"/>
          <w:iCs/>
          <w:sz w:val="24"/>
          <w:szCs w:val="24"/>
          <w:lang w:val="en-US"/>
        </w:rPr>
        <w:t xml:space="preserve">contributing to </w:t>
      </w:r>
      <w:r w:rsidR="00E15EC9">
        <w:rPr>
          <w:rFonts w:ascii="Times New Roman" w:hAnsi="Times New Roman" w:cs="Times New Roman"/>
          <w:iCs/>
          <w:sz w:val="24"/>
          <w:szCs w:val="24"/>
          <w:lang w:val="en-US"/>
        </w:rPr>
        <w:t>the formation of prejudiced views can be found in virtually every</w:t>
      </w:r>
      <w:r w:rsidR="00091F15" w:rsidRPr="004521C7">
        <w:rPr>
          <w:rFonts w:ascii="Times New Roman" w:hAnsi="Times New Roman" w:cs="Times New Roman"/>
          <w:iCs/>
          <w:sz w:val="24"/>
          <w:szCs w:val="24"/>
          <w:lang w:val="en-US"/>
        </w:rPr>
        <w:t xml:space="preserve"> aspect of </w:t>
      </w:r>
      <w:r w:rsidR="00FD16D5" w:rsidRPr="004521C7">
        <w:rPr>
          <w:rFonts w:ascii="Times New Roman" w:hAnsi="Times New Roman" w:cs="Times New Roman"/>
          <w:iCs/>
          <w:sz w:val="24"/>
          <w:szCs w:val="24"/>
          <w:lang w:val="en-US"/>
        </w:rPr>
        <w:t>“ordinary”</w:t>
      </w:r>
      <w:r w:rsidR="00E15EC9">
        <w:rPr>
          <w:rFonts w:ascii="Times New Roman" w:hAnsi="Times New Roman" w:cs="Times New Roman"/>
          <w:iCs/>
          <w:sz w:val="24"/>
          <w:szCs w:val="24"/>
          <w:lang w:val="en-US"/>
        </w:rPr>
        <w:t>,</w:t>
      </w:r>
      <w:r w:rsidR="00FD16D5" w:rsidRPr="004521C7">
        <w:rPr>
          <w:rFonts w:ascii="Times New Roman" w:hAnsi="Times New Roman" w:cs="Times New Roman"/>
          <w:iCs/>
          <w:sz w:val="24"/>
          <w:szCs w:val="24"/>
          <w:lang w:val="en-US"/>
        </w:rPr>
        <w:t xml:space="preserve"> societal life</w:t>
      </w:r>
      <w:r w:rsidR="00900D22" w:rsidRPr="004521C7">
        <w:rPr>
          <w:rFonts w:ascii="Times New Roman" w:hAnsi="Times New Roman" w:cs="Times New Roman"/>
          <w:iCs/>
          <w:sz w:val="24"/>
          <w:szCs w:val="24"/>
          <w:lang w:val="en-US"/>
        </w:rPr>
        <w:t>, with hate cri</w:t>
      </w:r>
      <w:r w:rsidR="00E15EC9">
        <w:rPr>
          <w:rFonts w:ascii="Times New Roman" w:hAnsi="Times New Roman" w:cs="Times New Roman"/>
          <w:iCs/>
          <w:sz w:val="24"/>
          <w:szCs w:val="24"/>
          <w:lang w:val="en-US"/>
        </w:rPr>
        <w:t>mes simply constituting the escalati</w:t>
      </w:r>
      <w:r w:rsidR="00900D22" w:rsidRPr="004521C7">
        <w:rPr>
          <w:rFonts w:ascii="Times New Roman" w:hAnsi="Times New Roman" w:cs="Times New Roman"/>
          <w:iCs/>
          <w:sz w:val="24"/>
          <w:szCs w:val="24"/>
          <w:lang w:val="en-US"/>
        </w:rPr>
        <w:t>n</w:t>
      </w:r>
      <w:r w:rsidR="00E15EC9">
        <w:rPr>
          <w:rFonts w:ascii="Times New Roman" w:hAnsi="Times New Roman" w:cs="Times New Roman"/>
          <w:iCs/>
          <w:sz w:val="24"/>
          <w:szCs w:val="24"/>
          <w:lang w:val="en-US"/>
        </w:rPr>
        <w:t>g or final</w:t>
      </w:r>
      <w:r w:rsidR="00900D22" w:rsidRPr="004521C7">
        <w:rPr>
          <w:rFonts w:ascii="Times New Roman" w:hAnsi="Times New Roman" w:cs="Times New Roman"/>
          <w:iCs/>
          <w:sz w:val="24"/>
          <w:szCs w:val="24"/>
          <w:lang w:val="en-US"/>
        </w:rPr>
        <w:t xml:space="preserve"> stage of a </w:t>
      </w:r>
      <w:r w:rsidR="00FB5AF4">
        <w:rPr>
          <w:rFonts w:ascii="Times New Roman" w:hAnsi="Times New Roman" w:cs="Times New Roman"/>
          <w:iCs/>
          <w:sz w:val="24"/>
          <w:szCs w:val="24"/>
          <w:lang w:val="en-US"/>
        </w:rPr>
        <w:t xml:space="preserve">state of ongoing group </w:t>
      </w:r>
      <w:r w:rsidR="009A10DF" w:rsidRPr="004521C7">
        <w:rPr>
          <w:rFonts w:ascii="Times New Roman" w:hAnsi="Times New Roman" w:cs="Times New Roman"/>
          <w:iCs/>
          <w:sz w:val="24"/>
          <w:szCs w:val="24"/>
          <w:lang w:val="en-US"/>
        </w:rPr>
        <w:t>victimization</w:t>
      </w:r>
      <w:r w:rsidR="00FB5AF4">
        <w:rPr>
          <w:rFonts w:ascii="Times New Roman" w:hAnsi="Times New Roman" w:cs="Times New Roman"/>
          <w:iCs/>
          <w:sz w:val="24"/>
          <w:szCs w:val="24"/>
          <w:lang w:val="en-US"/>
        </w:rPr>
        <w:t xml:space="preserve"> which, most often than not, </w:t>
      </w:r>
      <w:r w:rsidR="001D77E0">
        <w:rPr>
          <w:rFonts w:ascii="Times New Roman" w:hAnsi="Times New Roman" w:cs="Times New Roman"/>
          <w:iCs/>
          <w:sz w:val="24"/>
          <w:szCs w:val="24"/>
          <w:lang w:val="en-US"/>
        </w:rPr>
        <w:t>had</w:t>
      </w:r>
      <w:r w:rsidR="00FB5AF4">
        <w:rPr>
          <w:rFonts w:ascii="Times New Roman" w:hAnsi="Times New Roman" w:cs="Times New Roman"/>
          <w:iCs/>
          <w:sz w:val="24"/>
          <w:szCs w:val="24"/>
          <w:lang w:val="en-US"/>
        </w:rPr>
        <w:t xml:space="preserve"> been in place or evolved</w:t>
      </w:r>
      <w:r w:rsidR="00E15EC9">
        <w:rPr>
          <w:rFonts w:ascii="Times New Roman" w:hAnsi="Times New Roman" w:cs="Times New Roman"/>
          <w:iCs/>
          <w:sz w:val="24"/>
          <w:szCs w:val="24"/>
          <w:lang w:val="en-US"/>
        </w:rPr>
        <w:t xml:space="preserve"> over long </w:t>
      </w:r>
      <w:r w:rsidR="00900D22" w:rsidRPr="004521C7">
        <w:rPr>
          <w:rFonts w:ascii="Times New Roman" w:hAnsi="Times New Roman" w:cs="Times New Roman"/>
          <w:iCs/>
          <w:sz w:val="24"/>
          <w:szCs w:val="24"/>
          <w:lang w:val="en-US"/>
        </w:rPr>
        <w:t>periods</w:t>
      </w:r>
      <w:r w:rsidR="00E15EC9">
        <w:rPr>
          <w:rFonts w:ascii="Times New Roman" w:hAnsi="Times New Roman" w:cs="Times New Roman"/>
          <w:iCs/>
          <w:sz w:val="24"/>
          <w:szCs w:val="24"/>
          <w:lang w:val="en-US"/>
        </w:rPr>
        <w:t xml:space="preserve"> of time</w:t>
      </w:r>
      <w:r w:rsidR="00900D22" w:rsidRPr="004521C7">
        <w:rPr>
          <w:rFonts w:ascii="Times New Roman" w:hAnsi="Times New Roman" w:cs="Times New Roman"/>
          <w:iCs/>
          <w:sz w:val="24"/>
          <w:szCs w:val="24"/>
          <w:lang w:val="en-US"/>
        </w:rPr>
        <w:t>.</w:t>
      </w:r>
      <w:r w:rsidR="000D4FE0">
        <w:rPr>
          <w:rStyle w:val="Lbjegyzet-hivatkozs"/>
          <w:rFonts w:ascii="Times New Roman" w:hAnsi="Times New Roman" w:cs="Times New Roman"/>
          <w:iCs/>
          <w:sz w:val="24"/>
          <w:szCs w:val="24"/>
          <w:lang w:val="en-US"/>
        </w:rPr>
        <w:footnoteReference w:id="19"/>
      </w:r>
    </w:p>
    <w:p w:rsidR="001643EB" w:rsidRDefault="00091F15" w:rsidP="009007AE">
      <w:pPr>
        <w:ind w:firstLine="720"/>
        <w:jc w:val="both"/>
        <w:rPr>
          <w:rFonts w:ascii="Times New Roman" w:hAnsi="Times New Roman" w:cs="Times New Roman"/>
          <w:iCs/>
          <w:sz w:val="24"/>
          <w:szCs w:val="24"/>
          <w:lang w:val="en-US"/>
        </w:rPr>
      </w:pPr>
      <w:r w:rsidRPr="004521C7">
        <w:rPr>
          <w:rFonts w:ascii="Times New Roman" w:hAnsi="Times New Roman" w:cs="Times New Roman"/>
          <w:iCs/>
          <w:sz w:val="24"/>
          <w:szCs w:val="24"/>
          <w:lang w:val="en-US"/>
        </w:rPr>
        <w:t xml:space="preserve">Examples of parameters which can contribute to the development of </w:t>
      </w:r>
      <w:r w:rsidR="00803F9F" w:rsidRPr="004521C7">
        <w:rPr>
          <w:rFonts w:ascii="Times New Roman" w:hAnsi="Times New Roman" w:cs="Times New Roman"/>
          <w:iCs/>
          <w:sz w:val="24"/>
          <w:szCs w:val="24"/>
          <w:lang w:val="en-US"/>
        </w:rPr>
        <w:t>prejudiced-biased</w:t>
      </w:r>
      <w:r w:rsidRPr="004521C7">
        <w:rPr>
          <w:rFonts w:ascii="Times New Roman" w:hAnsi="Times New Roman" w:cs="Times New Roman"/>
          <w:iCs/>
          <w:sz w:val="24"/>
          <w:szCs w:val="24"/>
          <w:lang w:val="en-US"/>
        </w:rPr>
        <w:t xml:space="preserve"> views include influences acquired through the systems of education, family and/or peer environments, as well as stereotypical representations of particular gro</w:t>
      </w:r>
      <w:r w:rsidR="00FF7AF2">
        <w:rPr>
          <w:rFonts w:ascii="Times New Roman" w:hAnsi="Times New Roman" w:cs="Times New Roman"/>
          <w:iCs/>
          <w:sz w:val="24"/>
          <w:szCs w:val="24"/>
          <w:lang w:val="en-US"/>
        </w:rPr>
        <w:t xml:space="preserve">ups by </w:t>
      </w:r>
      <w:r w:rsidR="000D35E4">
        <w:rPr>
          <w:rFonts w:ascii="Times New Roman" w:hAnsi="Times New Roman" w:cs="Times New Roman"/>
          <w:iCs/>
          <w:sz w:val="24"/>
          <w:szCs w:val="24"/>
          <w:lang w:val="en-US"/>
        </w:rPr>
        <w:t xml:space="preserve">politicians or </w:t>
      </w:r>
      <w:r w:rsidR="00FF7AF2">
        <w:rPr>
          <w:rFonts w:ascii="Times New Roman" w:hAnsi="Times New Roman" w:cs="Times New Roman"/>
          <w:iCs/>
          <w:sz w:val="24"/>
          <w:szCs w:val="24"/>
          <w:lang w:val="en-US"/>
        </w:rPr>
        <w:t xml:space="preserve">the media (e.g. migrants </w:t>
      </w:r>
      <w:r w:rsidR="000D35E4">
        <w:rPr>
          <w:rFonts w:ascii="Times New Roman" w:hAnsi="Times New Roman" w:cs="Times New Roman"/>
          <w:iCs/>
          <w:sz w:val="24"/>
          <w:szCs w:val="24"/>
          <w:lang w:val="en-US"/>
        </w:rPr>
        <w:t xml:space="preserve">depicted </w:t>
      </w:r>
      <w:r w:rsidR="00FF7AF2">
        <w:rPr>
          <w:rFonts w:ascii="Times New Roman" w:hAnsi="Times New Roman" w:cs="Times New Roman"/>
          <w:iCs/>
          <w:sz w:val="24"/>
          <w:szCs w:val="24"/>
          <w:lang w:val="en-US"/>
        </w:rPr>
        <w:t xml:space="preserve">as “threats” to </w:t>
      </w:r>
      <w:r w:rsidR="00FF7AF2">
        <w:rPr>
          <w:rFonts w:ascii="Times New Roman" w:hAnsi="Times New Roman" w:cs="Times New Roman"/>
          <w:iCs/>
          <w:sz w:val="24"/>
          <w:szCs w:val="24"/>
          <w:lang w:val="en-US"/>
        </w:rPr>
        <w:lastRenderedPageBreak/>
        <w:t>security,</w:t>
      </w:r>
      <w:r w:rsidRPr="004521C7">
        <w:rPr>
          <w:rFonts w:ascii="Times New Roman" w:hAnsi="Times New Roman" w:cs="Times New Roman"/>
          <w:iCs/>
          <w:sz w:val="24"/>
          <w:szCs w:val="24"/>
          <w:lang w:val="en-US"/>
        </w:rPr>
        <w:t>economic welfare</w:t>
      </w:r>
      <w:r w:rsidR="00FF7AF2">
        <w:rPr>
          <w:rFonts w:ascii="Times New Roman" w:hAnsi="Times New Roman" w:cs="Times New Roman"/>
          <w:iCs/>
          <w:sz w:val="24"/>
          <w:szCs w:val="24"/>
          <w:lang w:val="en-US"/>
        </w:rPr>
        <w:t xml:space="preserve"> or cultural homogeneity</w:t>
      </w:r>
      <w:r w:rsidRPr="004521C7">
        <w:rPr>
          <w:rFonts w:ascii="Times New Roman" w:hAnsi="Times New Roman" w:cs="Times New Roman"/>
          <w:iCs/>
          <w:sz w:val="24"/>
          <w:szCs w:val="24"/>
          <w:lang w:val="en-US"/>
        </w:rPr>
        <w:t>). That is, influences towards which we are all</w:t>
      </w:r>
      <w:r w:rsidR="000D4FE0">
        <w:rPr>
          <w:rFonts w:ascii="Times New Roman" w:hAnsi="Times New Roman" w:cs="Times New Roman"/>
          <w:iCs/>
          <w:sz w:val="24"/>
          <w:szCs w:val="24"/>
          <w:lang w:val="en-US"/>
        </w:rPr>
        <w:t xml:space="preserve"> susceptible in our daily lives</w:t>
      </w:r>
      <w:r w:rsidR="000D35E4">
        <w:rPr>
          <w:rFonts w:ascii="Times New Roman" w:hAnsi="Times New Roman" w:cs="Times New Roman"/>
          <w:iCs/>
          <w:sz w:val="24"/>
          <w:szCs w:val="24"/>
          <w:lang w:val="en-US"/>
        </w:rPr>
        <w:t>.</w:t>
      </w:r>
      <w:r w:rsidR="000D4FE0">
        <w:rPr>
          <w:rStyle w:val="Lbjegyzet-hivatkozs"/>
          <w:rFonts w:ascii="Times New Roman" w:hAnsi="Times New Roman" w:cs="Times New Roman"/>
          <w:iCs/>
          <w:sz w:val="24"/>
          <w:szCs w:val="24"/>
          <w:lang w:val="en-US"/>
        </w:rPr>
        <w:footnoteReference w:id="20"/>
      </w:r>
    </w:p>
    <w:p w:rsidR="00091F15" w:rsidRPr="004521C7" w:rsidRDefault="00091F15" w:rsidP="00012E84">
      <w:pPr>
        <w:ind w:firstLine="720"/>
        <w:jc w:val="both"/>
        <w:rPr>
          <w:rFonts w:ascii="Times New Roman" w:hAnsi="Times New Roman" w:cs="Times New Roman"/>
          <w:iCs/>
          <w:sz w:val="24"/>
          <w:szCs w:val="24"/>
          <w:lang w:val="en-US"/>
        </w:rPr>
      </w:pPr>
      <w:r w:rsidRPr="004521C7">
        <w:rPr>
          <w:rFonts w:ascii="Times New Roman" w:hAnsi="Times New Roman" w:cs="Times New Roman"/>
          <w:iCs/>
          <w:sz w:val="24"/>
          <w:szCs w:val="24"/>
          <w:lang w:val="en-US"/>
        </w:rPr>
        <w:t xml:space="preserve">For instance, one way of looking at </w:t>
      </w:r>
      <w:r w:rsidR="001643EB">
        <w:rPr>
          <w:rFonts w:ascii="Times New Roman" w:hAnsi="Times New Roman" w:cs="Times New Roman"/>
          <w:iCs/>
          <w:sz w:val="24"/>
          <w:szCs w:val="24"/>
          <w:lang w:val="en-US"/>
        </w:rPr>
        <w:t>systems of education is as national</w:t>
      </w:r>
      <w:r w:rsidRPr="004521C7">
        <w:rPr>
          <w:rFonts w:ascii="Times New Roman" w:hAnsi="Times New Roman" w:cs="Times New Roman"/>
          <w:iCs/>
          <w:sz w:val="24"/>
          <w:szCs w:val="24"/>
          <w:lang w:val="en-US"/>
        </w:rPr>
        <w:t xml:space="preserve"> institutions charged with the responsibility of educating a country’s youth. Once some aspects of the means by which these institutions perform their roles, however, are considered, the issue becomes somewhat more co</w:t>
      </w:r>
      <w:r w:rsidR="001643EB">
        <w:rPr>
          <w:rFonts w:ascii="Times New Roman" w:hAnsi="Times New Roman" w:cs="Times New Roman"/>
          <w:iCs/>
          <w:sz w:val="24"/>
          <w:szCs w:val="24"/>
          <w:lang w:val="en-US"/>
        </w:rPr>
        <w:t>mplex. An integral part of most –if not all– education systems</w:t>
      </w:r>
      <w:r w:rsidRPr="004521C7">
        <w:rPr>
          <w:rFonts w:ascii="Times New Roman" w:hAnsi="Times New Roman" w:cs="Times New Roman"/>
          <w:iCs/>
          <w:sz w:val="24"/>
          <w:szCs w:val="24"/>
          <w:lang w:val="en-US"/>
        </w:rPr>
        <w:t xml:space="preserve"> is to educate the youth in matters pertaining to the history of their n</w:t>
      </w:r>
      <w:r w:rsidR="001643EB">
        <w:rPr>
          <w:rFonts w:ascii="Times New Roman" w:hAnsi="Times New Roman" w:cs="Times New Roman"/>
          <w:iCs/>
          <w:sz w:val="24"/>
          <w:szCs w:val="24"/>
          <w:lang w:val="en-US"/>
        </w:rPr>
        <w:t>ation-state. That is, a history</w:t>
      </w:r>
      <w:r w:rsidRPr="004521C7">
        <w:rPr>
          <w:rFonts w:ascii="Times New Roman" w:hAnsi="Times New Roman" w:cs="Times New Roman"/>
          <w:iCs/>
          <w:sz w:val="24"/>
          <w:szCs w:val="24"/>
          <w:lang w:val="en-US"/>
        </w:rPr>
        <w:t xml:space="preserve"> which most often than not is </w:t>
      </w:r>
      <w:r w:rsidR="00012E84">
        <w:rPr>
          <w:rFonts w:ascii="Times New Roman" w:hAnsi="Times New Roman" w:cs="Times New Roman"/>
          <w:iCs/>
          <w:sz w:val="24"/>
          <w:szCs w:val="24"/>
          <w:lang w:val="en-US"/>
        </w:rPr>
        <w:t>rife with</w:t>
      </w:r>
      <w:r w:rsidRPr="004521C7">
        <w:rPr>
          <w:rFonts w:ascii="Times New Roman" w:hAnsi="Times New Roman" w:cs="Times New Roman"/>
          <w:iCs/>
          <w:sz w:val="24"/>
          <w:szCs w:val="24"/>
          <w:lang w:val="en-US"/>
        </w:rPr>
        <w:t xml:space="preserve"> instances of heroic narratives of the co</w:t>
      </w:r>
      <w:r w:rsidR="00012E84">
        <w:rPr>
          <w:rFonts w:ascii="Times New Roman" w:hAnsi="Times New Roman" w:cs="Times New Roman"/>
          <w:iCs/>
          <w:sz w:val="24"/>
          <w:szCs w:val="24"/>
          <w:lang w:val="en-US"/>
        </w:rPr>
        <w:t xml:space="preserve">untry’s glorious past. Amongst such instances, of course, are also </w:t>
      </w:r>
      <w:r w:rsidRPr="004521C7">
        <w:rPr>
          <w:rFonts w:ascii="Times New Roman" w:hAnsi="Times New Roman" w:cs="Times New Roman"/>
          <w:iCs/>
          <w:sz w:val="24"/>
          <w:szCs w:val="24"/>
          <w:lang w:val="en-US"/>
        </w:rPr>
        <w:t xml:space="preserve">wars of liberation </w:t>
      </w:r>
      <w:r w:rsidR="00012E84">
        <w:rPr>
          <w:rFonts w:ascii="Times New Roman" w:hAnsi="Times New Roman" w:cs="Times New Roman"/>
          <w:iCs/>
          <w:sz w:val="24"/>
          <w:szCs w:val="24"/>
          <w:lang w:val="en-US"/>
        </w:rPr>
        <w:t>and/</w:t>
      </w:r>
      <w:r w:rsidRPr="004521C7">
        <w:rPr>
          <w:rFonts w:ascii="Times New Roman" w:hAnsi="Times New Roman" w:cs="Times New Roman"/>
          <w:iCs/>
          <w:sz w:val="24"/>
          <w:szCs w:val="24"/>
          <w:lang w:val="en-US"/>
        </w:rPr>
        <w:t>or revolutions against past oppressors. Important as these lessons may be, we should not forget that, as is the case with every war needing its “heroes”, so to every hero is in need of their antagonist or “villain”, as without the latter, the former’s existence would have never been possible. And when</w:t>
      </w:r>
      <w:r w:rsidR="00012E84">
        <w:rPr>
          <w:rFonts w:ascii="Times New Roman" w:hAnsi="Times New Roman" w:cs="Times New Roman"/>
          <w:iCs/>
          <w:sz w:val="24"/>
          <w:szCs w:val="24"/>
          <w:lang w:val="en-US"/>
        </w:rPr>
        <w:t xml:space="preserve"> this antagonist, –this “Other”– </w:t>
      </w:r>
      <w:r w:rsidRPr="004521C7">
        <w:rPr>
          <w:rFonts w:ascii="Times New Roman" w:hAnsi="Times New Roman" w:cs="Times New Roman"/>
          <w:iCs/>
          <w:sz w:val="24"/>
          <w:szCs w:val="24"/>
          <w:lang w:val="en-US"/>
        </w:rPr>
        <w:t xml:space="preserve">who is commonly distinguished from the hero due to his </w:t>
      </w:r>
      <w:r w:rsidR="00012E84">
        <w:rPr>
          <w:rFonts w:ascii="Times New Roman" w:hAnsi="Times New Roman" w:cs="Times New Roman"/>
          <w:iCs/>
          <w:sz w:val="24"/>
          <w:szCs w:val="24"/>
          <w:lang w:val="en-US"/>
        </w:rPr>
        <w:t xml:space="preserve">usually </w:t>
      </w:r>
      <w:r w:rsidRPr="004521C7">
        <w:rPr>
          <w:rFonts w:ascii="Times New Roman" w:hAnsi="Times New Roman" w:cs="Times New Roman"/>
          <w:iCs/>
          <w:sz w:val="24"/>
          <w:szCs w:val="24"/>
          <w:lang w:val="en-US"/>
        </w:rPr>
        <w:t>displaying the opposite, from the hero’s, characteristics</w:t>
      </w:r>
      <w:r w:rsidR="00012E84">
        <w:rPr>
          <w:rFonts w:ascii="Times New Roman" w:hAnsi="Times New Roman" w:cs="Times New Roman"/>
          <w:iCs/>
          <w:sz w:val="24"/>
          <w:szCs w:val="24"/>
          <w:lang w:val="en-US"/>
        </w:rPr>
        <w:t xml:space="preserve"> (e.g. the hero is brave-the enemy not so much)</w:t>
      </w:r>
      <w:r w:rsidRPr="004521C7">
        <w:rPr>
          <w:rFonts w:ascii="Times New Roman" w:hAnsi="Times New Roman" w:cs="Times New Roman"/>
          <w:iCs/>
          <w:sz w:val="24"/>
          <w:szCs w:val="24"/>
          <w:lang w:val="en-US"/>
        </w:rPr>
        <w:t>, is seen as a representative example of another group (e.g. nation</w:t>
      </w:r>
      <w:r w:rsidR="00FC276B" w:rsidRPr="004521C7">
        <w:rPr>
          <w:rFonts w:ascii="Times New Roman" w:hAnsi="Times New Roman" w:cs="Times New Roman"/>
          <w:iCs/>
          <w:sz w:val="24"/>
          <w:szCs w:val="24"/>
          <w:lang w:val="en-US"/>
        </w:rPr>
        <w:t>al-ethnic minority</w:t>
      </w:r>
      <w:r w:rsidRPr="004521C7">
        <w:rPr>
          <w:rFonts w:ascii="Times New Roman" w:hAnsi="Times New Roman" w:cs="Times New Roman"/>
          <w:iCs/>
          <w:sz w:val="24"/>
          <w:szCs w:val="24"/>
          <w:lang w:val="en-US"/>
        </w:rPr>
        <w:t>) – as is the case, for instance, with the traditional antagonists of</w:t>
      </w:r>
      <w:r w:rsidR="00012E84">
        <w:rPr>
          <w:rFonts w:ascii="Times New Roman" w:hAnsi="Times New Roman" w:cs="Times New Roman"/>
          <w:iCs/>
          <w:sz w:val="24"/>
          <w:szCs w:val="24"/>
          <w:lang w:val="en-US"/>
        </w:rPr>
        <w:t xml:space="preserve"> the international state system– then a precondition</w:t>
      </w:r>
      <w:r w:rsidRPr="004521C7">
        <w:rPr>
          <w:rFonts w:ascii="Times New Roman" w:hAnsi="Times New Roman" w:cs="Times New Roman"/>
          <w:iCs/>
          <w:sz w:val="24"/>
          <w:szCs w:val="24"/>
          <w:lang w:val="en-US"/>
        </w:rPr>
        <w:t xml:space="preserve"> for the potential development of prejudice, in the </w:t>
      </w:r>
      <w:r w:rsidR="00012E84">
        <w:rPr>
          <w:rFonts w:ascii="Times New Roman" w:hAnsi="Times New Roman" w:cs="Times New Roman"/>
          <w:iCs/>
          <w:sz w:val="24"/>
          <w:szCs w:val="24"/>
          <w:lang w:val="en-US"/>
        </w:rPr>
        <w:t>form of extreme nationalism, has</w:t>
      </w:r>
      <w:r w:rsidRPr="004521C7">
        <w:rPr>
          <w:rFonts w:ascii="Times New Roman" w:hAnsi="Times New Roman" w:cs="Times New Roman"/>
          <w:iCs/>
          <w:sz w:val="24"/>
          <w:szCs w:val="24"/>
          <w:lang w:val="en-US"/>
        </w:rPr>
        <w:t xml:space="preserve"> taken its roots.</w:t>
      </w:r>
    </w:p>
    <w:p w:rsidR="00091F15" w:rsidRDefault="00091F15" w:rsidP="00012E84">
      <w:pPr>
        <w:ind w:firstLine="720"/>
        <w:jc w:val="both"/>
        <w:rPr>
          <w:rFonts w:ascii="Times New Roman" w:hAnsi="Times New Roman" w:cs="Times New Roman"/>
          <w:iCs/>
          <w:sz w:val="24"/>
          <w:szCs w:val="24"/>
          <w:lang w:val="en-US"/>
        </w:rPr>
      </w:pPr>
      <w:r w:rsidRPr="004521C7">
        <w:rPr>
          <w:rFonts w:ascii="Times New Roman" w:hAnsi="Times New Roman" w:cs="Times New Roman"/>
          <w:iCs/>
          <w:sz w:val="24"/>
          <w:szCs w:val="24"/>
          <w:lang w:val="en-US"/>
        </w:rPr>
        <w:t>This is not to say that history should either not be taught or that its teaching equates to a de facto promulgation of prejudice. Rather, what it is meant to show is that when considering bias, we should always already be aware of our own capacity to express or be affected by it, due to environmental stimuli which, often times, are overlooked and not recognized as potentially affecting our judgment. In othe</w:t>
      </w:r>
      <w:r w:rsidR="001E70B5">
        <w:rPr>
          <w:rFonts w:ascii="Times New Roman" w:hAnsi="Times New Roman" w:cs="Times New Roman"/>
          <w:iCs/>
          <w:sz w:val="24"/>
          <w:szCs w:val="24"/>
          <w:lang w:val="en-US"/>
        </w:rPr>
        <w:t xml:space="preserve">r words, </w:t>
      </w:r>
      <w:r w:rsidRPr="004521C7">
        <w:rPr>
          <w:rFonts w:ascii="Times New Roman" w:hAnsi="Times New Roman" w:cs="Times New Roman"/>
          <w:iCs/>
          <w:sz w:val="24"/>
          <w:szCs w:val="24"/>
          <w:lang w:val="en-US"/>
        </w:rPr>
        <w:t>we are all susceptible to some form of prejudice or another, because the conditions for its existence form an integral part of every society.</w:t>
      </w:r>
    </w:p>
    <w:p w:rsidR="003E6CA5" w:rsidRDefault="00012E84" w:rsidP="00E93A01">
      <w:pPr>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Lastly</w:t>
      </w:r>
      <w:r w:rsidR="00FC5E75">
        <w:rPr>
          <w:rFonts w:ascii="Times New Roman" w:hAnsi="Times New Roman" w:cs="Times New Roman"/>
          <w:iCs/>
          <w:sz w:val="24"/>
          <w:szCs w:val="24"/>
          <w:lang w:val="en-US"/>
        </w:rPr>
        <w:t>,because, as already mentioned,</w:t>
      </w:r>
      <w:r w:rsidR="00091F15" w:rsidRPr="004521C7">
        <w:rPr>
          <w:rFonts w:ascii="Times New Roman" w:hAnsi="Times New Roman" w:cs="Times New Roman"/>
          <w:iCs/>
          <w:sz w:val="24"/>
          <w:szCs w:val="24"/>
          <w:lang w:val="en-US"/>
        </w:rPr>
        <w:t xml:space="preserve"> prote</w:t>
      </w:r>
      <w:r w:rsidR="00FC5E75">
        <w:rPr>
          <w:rFonts w:ascii="Times New Roman" w:hAnsi="Times New Roman" w:cs="Times New Roman"/>
          <w:iCs/>
          <w:sz w:val="24"/>
          <w:szCs w:val="24"/>
          <w:lang w:val="en-US"/>
        </w:rPr>
        <w:t>cted characteristics act as markers</w:t>
      </w:r>
      <w:r w:rsidR="00FD052B">
        <w:rPr>
          <w:rFonts w:ascii="Times New Roman" w:hAnsi="Times New Roman" w:cs="Times New Roman"/>
          <w:iCs/>
          <w:sz w:val="24"/>
          <w:szCs w:val="24"/>
          <w:lang w:val="en-US"/>
        </w:rPr>
        <w:t xml:space="preserve"> of group identity, whether the victim</w:t>
      </w:r>
      <w:r w:rsidR="00FC5E75">
        <w:rPr>
          <w:rFonts w:ascii="Times New Roman" w:hAnsi="Times New Roman" w:cs="Times New Roman"/>
          <w:iCs/>
          <w:sz w:val="24"/>
          <w:szCs w:val="24"/>
          <w:lang w:val="en-US"/>
        </w:rPr>
        <w:t>(</w:t>
      </w:r>
      <w:r w:rsidR="00FD052B">
        <w:rPr>
          <w:rFonts w:ascii="Times New Roman" w:hAnsi="Times New Roman" w:cs="Times New Roman"/>
          <w:iCs/>
          <w:sz w:val="24"/>
          <w:szCs w:val="24"/>
          <w:lang w:val="en-US"/>
        </w:rPr>
        <w:t>s</w:t>
      </w:r>
      <w:r w:rsidR="00FC5E75">
        <w:rPr>
          <w:rFonts w:ascii="Times New Roman" w:hAnsi="Times New Roman" w:cs="Times New Roman"/>
          <w:iCs/>
          <w:sz w:val="24"/>
          <w:szCs w:val="24"/>
          <w:lang w:val="en-US"/>
        </w:rPr>
        <w:t>) of the crime is</w:t>
      </w:r>
      <w:r w:rsidR="00FD052B">
        <w:rPr>
          <w:rFonts w:ascii="Times New Roman" w:hAnsi="Times New Roman" w:cs="Times New Roman"/>
          <w:iCs/>
          <w:sz w:val="24"/>
          <w:szCs w:val="24"/>
          <w:lang w:val="en-US"/>
        </w:rPr>
        <w:t xml:space="preserve"> actual</w:t>
      </w:r>
      <w:r w:rsidR="00FC5E75">
        <w:rPr>
          <w:rFonts w:ascii="Times New Roman" w:hAnsi="Times New Roman" w:cs="Times New Roman"/>
          <w:iCs/>
          <w:sz w:val="24"/>
          <w:szCs w:val="24"/>
          <w:lang w:val="en-US"/>
        </w:rPr>
        <w:t>ly a member</w:t>
      </w:r>
      <w:r w:rsidR="00FD052B">
        <w:rPr>
          <w:rFonts w:ascii="Times New Roman" w:hAnsi="Times New Roman" w:cs="Times New Roman"/>
          <w:iCs/>
          <w:sz w:val="24"/>
          <w:szCs w:val="24"/>
          <w:lang w:val="en-US"/>
        </w:rPr>
        <w:t xml:space="preserve"> of the targeted</w:t>
      </w:r>
      <w:r w:rsidR="00091F15" w:rsidRPr="004521C7">
        <w:rPr>
          <w:rFonts w:ascii="Times New Roman" w:hAnsi="Times New Roman" w:cs="Times New Roman"/>
          <w:iCs/>
          <w:sz w:val="24"/>
          <w:szCs w:val="24"/>
          <w:lang w:val="en-US"/>
        </w:rPr>
        <w:t xml:space="preserve"> group is irrelevant.</w:t>
      </w:r>
      <w:r w:rsidR="00F96F17">
        <w:rPr>
          <w:rFonts w:ascii="Times New Roman" w:hAnsi="Times New Roman" w:cs="Times New Roman"/>
          <w:iCs/>
          <w:sz w:val="24"/>
          <w:szCs w:val="24"/>
          <w:lang w:val="en-US"/>
        </w:rPr>
        <w:t xml:space="preserve"> Hate crimes, ultimately, are never solely about </w:t>
      </w:r>
      <w:r w:rsidR="00F96F17" w:rsidRPr="00F96F17">
        <w:rPr>
          <w:rFonts w:ascii="Times New Roman" w:hAnsi="Times New Roman" w:cs="Times New Roman"/>
          <w:iCs/>
          <w:sz w:val="24"/>
          <w:szCs w:val="24"/>
          <w:lang w:val="en-US"/>
        </w:rPr>
        <w:t>causing harm to the direct recipient of the committed violence. In direct proportion to the array or group of individuals towards which bias is displayed, the primary target of hate crimes are distinct groups, in their perceived totality. The individual or individuals directly affected are mostly interchangeable parts of a group which, for the perpetrator(s), constitutes a homogenous target. It is this (actual or alleged) belonging that makes someone a target of a hate crime, and it is for the same reason that the exertion of direct or indirect physical harm to the victim is only one of its aspects. The other, which also needs to be kept in mind and which, in the long run, is even more harmful, is the perpetrator’s will to indirectly harm the group by sending a message. A message, about the victim’s and consequently the group’s, to which the former is seen as belonging, rightful place within society;</w:t>
      </w:r>
      <w:r w:rsidR="003E6CA5">
        <w:rPr>
          <w:rFonts w:ascii="Times New Roman" w:hAnsi="Times New Roman" w:cs="Times New Roman"/>
          <w:iCs/>
          <w:sz w:val="24"/>
          <w:szCs w:val="24"/>
          <w:lang w:val="en-US"/>
        </w:rPr>
        <w:t>specifically,</w:t>
      </w:r>
      <w:r w:rsidR="00A447FB">
        <w:rPr>
          <w:rFonts w:ascii="Times New Roman" w:hAnsi="Times New Roman" w:cs="Times New Roman"/>
          <w:iCs/>
          <w:sz w:val="24"/>
          <w:szCs w:val="24"/>
          <w:lang w:val="en-US"/>
        </w:rPr>
        <w:t xml:space="preserve"> a </w:t>
      </w:r>
      <w:r w:rsidR="00A447FB">
        <w:rPr>
          <w:rFonts w:ascii="Times New Roman" w:hAnsi="Times New Roman" w:cs="Times New Roman"/>
          <w:iCs/>
          <w:sz w:val="24"/>
          <w:szCs w:val="24"/>
          <w:lang w:val="en-US"/>
        </w:rPr>
        <w:lastRenderedPageBreak/>
        <w:t>message</w:t>
      </w:r>
      <w:r w:rsidR="00F96F17">
        <w:rPr>
          <w:rFonts w:ascii="Times New Roman" w:hAnsi="Times New Roman" w:cs="Times New Roman"/>
          <w:iCs/>
          <w:sz w:val="24"/>
          <w:szCs w:val="24"/>
          <w:lang w:val="en-US"/>
        </w:rPr>
        <w:t>‘</w:t>
      </w:r>
      <w:r w:rsidR="00F96F17" w:rsidRPr="00F96F17">
        <w:rPr>
          <w:rFonts w:ascii="Times New Roman" w:hAnsi="Times New Roman" w:cs="Times New Roman"/>
          <w:iCs/>
          <w:sz w:val="24"/>
          <w:szCs w:val="24"/>
          <w:lang w:val="en-US"/>
        </w:rPr>
        <w:t>that</w:t>
      </w:r>
      <w:r w:rsidR="003E6CA5">
        <w:rPr>
          <w:rFonts w:ascii="Times New Roman" w:hAnsi="Times New Roman" w:cs="Times New Roman"/>
          <w:iCs/>
          <w:sz w:val="24"/>
          <w:szCs w:val="24"/>
          <w:lang w:val="en-US"/>
        </w:rPr>
        <w:t>they are not welcome in [it]</w:t>
      </w:r>
      <w:r w:rsidR="00A25D6B">
        <w:rPr>
          <w:rFonts w:ascii="Times New Roman" w:hAnsi="Times New Roman" w:cs="Times New Roman"/>
          <w:iCs/>
          <w:sz w:val="24"/>
          <w:szCs w:val="24"/>
          <w:lang w:val="en-US"/>
        </w:rPr>
        <w:t>’</w:t>
      </w:r>
      <w:r w:rsidR="00F96F17">
        <w:rPr>
          <w:rFonts w:ascii="Times New Roman" w:hAnsi="Times New Roman" w:cs="Times New Roman"/>
          <w:iCs/>
          <w:sz w:val="24"/>
          <w:szCs w:val="24"/>
          <w:lang w:val="en-US"/>
        </w:rPr>
        <w:t>.</w:t>
      </w:r>
      <w:r w:rsidR="00A25D6B">
        <w:rPr>
          <w:rStyle w:val="Lbjegyzet-hivatkozs"/>
          <w:rFonts w:ascii="Times New Roman" w:hAnsi="Times New Roman" w:cs="Times New Roman"/>
          <w:iCs/>
          <w:sz w:val="24"/>
          <w:szCs w:val="24"/>
          <w:lang w:val="en-US"/>
        </w:rPr>
        <w:footnoteReference w:id="21"/>
      </w:r>
      <w:r w:rsidR="00EB3F6B">
        <w:rPr>
          <w:rFonts w:ascii="Times New Roman" w:hAnsi="Times New Roman" w:cs="Times New Roman"/>
          <w:iCs/>
          <w:sz w:val="24"/>
          <w:szCs w:val="24"/>
          <w:lang w:val="en-US"/>
        </w:rPr>
        <w:t xml:space="preserve"> A message which, at times, </w:t>
      </w:r>
      <w:r w:rsidR="00E93A01">
        <w:rPr>
          <w:rFonts w:ascii="Times New Roman" w:hAnsi="Times New Roman" w:cs="Times New Roman"/>
          <w:iCs/>
          <w:sz w:val="24"/>
          <w:szCs w:val="24"/>
          <w:lang w:val="en-US"/>
        </w:rPr>
        <w:t>extends to encompass not only the victimized group, b</w:t>
      </w:r>
      <w:r w:rsidR="00A447FB">
        <w:rPr>
          <w:rFonts w:ascii="Times New Roman" w:hAnsi="Times New Roman" w:cs="Times New Roman"/>
          <w:iCs/>
          <w:sz w:val="24"/>
          <w:szCs w:val="24"/>
          <w:lang w:val="en-US"/>
        </w:rPr>
        <w:t>ut also persons close to him or her</w:t>
      </w:r>
      <w:r w:rsidR="00E93A01">
        <w:rPr>
          <w:rFonts w:ascii="Times New Roman" w:hAnsi="Times New Roman" w:cs="Times New Roman"/>
          <w:iCs/>
          <w:sz w:val="24"/>
          <w:szCs w:val="24"/>
          <w:lang w:val="en-US"/>
        </w:rPr>
        <w:t>. T</w:t>
      </w:r>
      <w:r w:rsidR="00EB3F6B">
        <w:rPr>
          <w:rFonts w:ascii="Times New Roman" w:hAnsi="Times New Roman" w:cs="Times New Roman"/>
          <w:iCs/>
          <w:sz w:val="24"/>
          <w:szCs w:val="24"/>
          <w:lang w:val="en-US"/>
        </w:rPr>
        <w:t>hus, not uncommonly, hate crimes victims are not always members of the target</w:t>
      </w:r>
      <w:r w:rsidR="00E93A01">
        <w:rPr>
          <w:rFonts w:ascii="Times New Roman" w:hAnsi="Times New Roman" w:cs="Times New Roman"/>
          <w:iCs/>
          <w:sz w:val="24"/>
          <w:szCs w:val="24"/>
          <w:lang w:val="en-US"/>
        </w:rPr>
        <w:t>ed</w:t>
      </w:r>
      <w:r w:rsidR="00EB3F6B">
        <w:rPr>
          <w:rFonts w:ascii="Times New Roman" w:hAnsi="Times New Roman" w:cs="Times New Roman"/>
          <w:iCs/>
          <w:sz w:val="24"/>
          <w:szCs w:val="24"/>
          <w:lang w:val="en-US"/>
        </w:rPr>
        <w:t xml:space="preserve"> group (albeit, </w:t>
      </w:r>
      <w:r w:rsidR="00E93A01">
        <w:rPr>
          <w:rFonts w:ascii="Times New Roman" w:hAnsi="Times New Roman" w:cs="Times New Roman"/>
          <w:iCs/>
          <w:sz w:val="24"/>
          <w:szCs w:val="24"/>
          <w:lang w:val="en-US"/>
        </w:rPr>
        <w:t>t</w:t>
      </w:r>
      <w:r w:rsidR="00A447FB">
        <w:rPr>
          <w:rFonts w:ascii="Times New Roman" w:hAnsi="Times New Roman" w:cs="Times New Roman"/>
          <w:iCs/>
          <w:sz w:val="24"/>
          <w:szCs w:val="24"/>
          <w:lang w:val="en-US"/>
        </w:rPr>
        <w:t xml:space="preserve">his does not alleviate </w:t>
      </w:r>
      <w:r w:rsidR="00EB3F6B">
        <w:rPr>
          <w:rFonts w:ascii="Times New Roman" w:hAnsi="Times New Roman" w:cs="Times New Roman"/>
          <w:iCs/>
          <w:sz w:val="24"/>
          <w:szCs w:val="24"/>
          <w:lang w:val="en-US"/>
        </w:rPr>
        <w:t>the obligation to effectively investigate the crime in its nature). For instance:</w:t>
      </w:r>
    </w:p>
    <w:p w:rsidR="00113F03" w:rsidRDefault="00113F03" w:rsidP="00E93A01">
      <w:pPr>
        <w:ind w:firstLine="720"/>
        <w:jc w:val="both"/>
        <w:rPr>
          <w:rFonts w:ascii="Times New Roman" w:hAnsi="Times New Roman" w:cs="Times New Roman"/>
          <w:iCs/>
          <w:sz w:val="24"/>
          <w:szCs w:val="24"/>
          <w:lang w:val="en-US"/>
        </w:rPr>
      </w:pPr>
    </w:p>
    <w:tbl>
      <w:tblPr>
        <w:tblStyle w:val="MediumGrid1-Accent51"/>
        <w:tblW w:w="0" w:type="auto"/>
        <w:tblLook w:val="04A0"/>
      </w:tblPr>
      <w:tblGrid>
        <w:gridCol w:w="8440"/>
      </w:tblGrid>
      <w:tr w:rsidR="00113F03" w:rsidRPr="00595388" w:rsidTr="00DD5F20">
        <w:trPr>
          <w:cnfStyle w:val="100000000000"/>
        </w:trPr>
        <w:tc>
          <w:tcPr>
            <w:cnfStyle w:val="001000000000"/>
            <w:tcW w:w="8440" w:type="dxa"/>
          </w:tcPr>
          <w:p w:rsidR="00113F03" w:rsidRPr="00506977" w:rsidRDefault="00113F03" w:rsidP="00DD5F20">
            <w:pPr>
              <w:contextualSpacing/>
              <w:jc w:val="both"/>
              <w:rPr>
                <w:rFonts w:ascii="Verdana" w:eastAsia="MS Mincho" w:hAnsi="Verdana" w:cs="Times New Roman"/>
                <w:b w:val="0"/>
                <w:bCs w:val="0"/>
                <w:iCs/>
                <w:color w:val="943634"/>
                <w:sz w:val="19"/>
                <w:szCs w:val="19"/>
                <w:lang w:val="en-GB"/>
              </w:rPr>
            </w:pPr>
            <w:r w:rsidRPr="00B22F31">
              <w:rPr>
                <w:rFonts w:ascii="Verdana" w:eastAsia="MS Mincho" w:hAnsi="Verdana" w:cs="Times New Roman"/>
                <w:color w:val="943634"/>
                <w:sz w:val="19"/>
                <w:szCs w:val="19"/>
              </w:rPr>
              <w:t xml:space="preserve">European Court of Human Rights, </w:t>
            </w:r>
            <w:r w:rsidRPr="00B22F31">
              <w:rPr>
                <w:rFonts w:ascii="Verdana" w:eastAsia="MS Mincho" w:hAnsi="Verdana" w:cs="Times New Roman"/>
                <w:iCs/>
                <w:color w:val="943634"/>
                <w:sz w:val="19"/>
                <w:szCs w:val="19"/>
              </w:rPr>
              <w:t>CASE OF ŠKORJANEC v. CROATIA</w:t>
            </w:r>
            <w:r w:rsidRPr="00B22F31">
              <w:rPr>
                <w:rFonts w:ascii="Verdana" w:eastAsia="MS Mincho" w:hAnsi="Verdana" w:cs="Times New Roman"/>
                <w:color w:val="943634"/>
                <w:sz w:val="19"/>
                <w:szCs w:val="19"/>
              </w:rPr>
              <w:t xml:space="preserve">, </w:t>
            </w:r>
            <w:r w:rsidRPr="00B22F31">
              <w:rPr>
                <w:rFonts w:ascii="Verdana" w:eastAsia="MS Mincho" w:hAnsi="Verdana" w:cs="Times New Roman"/>
                <w:i/>
                <w:iCs/>
                <w:color w:val="943634"/>
                <w:sz w:val="19"/>
                <w:szCs w:val="19"/>
              </w:rPr>
              <w:t>Application no. 25536/14</w:t>
            </w:r>
            <w:r w:rsidRPr="00B22F31">
              <w:rPr>
                <w:rFonts w:ascii="Verdana" w:eastAsia="MS Mincho" w:hAnsi="Verdana" w:cs="Times New Roman"/>
                <w:iCs/>
                <w:color w:val="943634"/>
                <w:sz w:val="19"/>
                <w:szCs w:val="19"/>
              </w:rPr>
              <w:t xml:space="preserve">, Judgment of 28 March 2017 </w:t>
            </w:r>
            <w:r>
              <w:rPr>
                <w:rFonts w:ascii="Verdana" w:eastAsia="MS Mincho" w:hAnsi="Verdana" w:cs="Times New Roman"/>
                <w:iCs/>
                <w:color w:val="943634"/>
                <w:sz w:val="19"/>
                <w:szCs w:val="19"/>
              </w:rPr>
              <w:t>(</w:t>
            </w:r>
            <w:hyperlink r:id="rId11" w:history="1">
              <w:r w:rsidRPr="009F62BE">
                <w:rPr>
                  <w:rStyle w:val="Hiperhivatkozs"/>
                  <w:rFonts w:ascii="Verdana" w:eastAsia="MS Mincho" w:hAnsi="Verdana" w:cs="Times New Roman"/>
                  <w:iCs/>
                  <w:sz w:val="19"/>
                  <w:szCs w:val="19"/>
                </w:rPr>
                <w:t>link</w:t>
              </w:r>
            </w:hyperlink>
            <w:r>
              <w:rPr>
                <w:rFonts w:ascii="Verdana" w:eastAsia="MS Mincho" w:hAnsi="Verdana" w:cs="Times New Roman"/>
                <w:iCs/>
                <w:color w:val="943634"/>
                <w:sz w:val="19"/>
                <w:szCs w:val="19"/>
              </w:rPr>
              <w:t>)</w:t>
            </w:r>
          </w:p>
          <w:p w:rsidR="00113F03" w:rsidRPr="005A2D6B" w:rsidRDefault="00113F03" w:rsidP="00DD5F20">
            <w:pPr>
              <w:contextualSpacing/>
              <w:jc w:val="both"/>
              <w:rPr>
                <w:rFonts w:ascii="Verdana" w:eastAsia="MS Mincho" w:hAnsi="Verdana" w:cs="Times New Roman"/>
                <w:sz w:val="18"/>
                <w:szCs w:val="18"/>
                <w:u w:val="single"/>
              </w:rPr>
            </w:pPr>
          </w:p>
          <w:p w:rsidR="00113F03" w:rsidRPr="0099316A" w:rsidRDefault="00113F03" w:rsidP="00DD5F20">
            <w:pPr>
              <w:contextualSpacing/>
              <w:jc w:val="both"/>
              <w:rPr>
                <w:rFonts w:ascii="Verdana" w:eastAsia="MS Mincho" w:hAnsi="Verdana" w:cs="Times New Roman"/>
                <w:b w:val="0"/>
                <w:sz w:val="18"/>
                <w:szCs w:val="18"/>
              </w:rPr>
            </w:pPr>
            <w:r>
              <w:rPr>
                <w:rFonts w:ascii="Verdana" w:eastAsia="MS Mincho" w:hAnsi="Verdana" w:cs="Times New Roman"/>
                <w:sz w:val="18"/>
                <w:szCs w:val="18"/>
                <w:u w:val="single"/>
              </w:rPr>
              <w:t>Facts</w:t>
            </w:r>
            <w:r>
              <w:rPr>
                <w:rFonts w:ascii="Verdana" w:eastAsia="MS Mincho" w:hAnsi="Verdana" w:cs="Times New Roman"/>
                <w:sz w:val="18"/>
                <w:szCs w:val="18"/>
              </w:rPr>
              <w:t xml:space="preserve">: </w:t>
            </w:r>
            <w:r w:rsidRPr="0099316A">
              <w:rPr>
                <w:rFonts w:ascii="Verdana" w:eastAsia="MS Mincho" w:hAnsi="Verdana" w:cs="Times New Roman"/>
                <w:b w:val="0"/>
                <w:sz w:val="18"/>
                <w:szCs w:val="18"/>
              </w:rPr>
              <w:t xml:space="preserve">The applicant claimed that the state had failed toeffectively discharge their positive obligations in relation to a racially motivated act of violence against her. The applicant, a Croatian national, and her partner, of Roma origin, had been insulted and physically abused on racial grounds (anti-Roma hatred). The perpetrators had been convicted of racially motivated threats and bodily harm against her partner, but not against her, due to her non-Roma origin.  </w:t>
            </w:r>
          </w:p>
          <w:p w:rsidR="00113F03" w:rsidRPr="000E3435" w:rsidRDefault="00113F03" w:rsidP="00DD5F20">
            <w:pPr>
              <w:contextualSpacing/>
              <w:jc w:val="both"/>
              <w:rPr>
                <w:rFonts w:ascii="Verdana" w:eastAsia="MS Mincho" w:hAnsi="Verdana" w:cs="Times New Roman"/>
                <w:b w:val="0"/>
                <w:sz w:val="18"/>
                <w:szCs w:val="18"/>
                <w:u w:val="single"/>
              </w:rPr>
            </w:pPr>
          </w:p>
          <w:p w:rsidR="00113F03" w:rsidRPr="0099316A" w:rsidRDefault="00113F03" w:rsidP="00DD5F20">
            <w:pPr>
              <w:contextualSpacing/>
              <w:jc w:val="both"/>
              <w:rPr>
                <w:rFonts w:ascii="Verdana" w:eastAsia="MS Mincho" w:hAnsi="Verdana" w:cs="Times New Roman"/>
                <w:b w:val="0"/>
                <w:sz w:val="18"/>
                <w:szCs w:val="18"/>
                <w:lang w:val="en-GB"/>
              </w:rPr>
            </w:pPr>
            <w:r w:rsidRPr="005A2D6B">
              <w:rPr>
                <w:rFonts w:ascii="Verdana" w:eastAsia="MS Mincho" w:hAnsi="Verdana" w:cs="Times New Roman"/>
                <w:sz w:val="18"/>
                <w:szCs w:val="18"/>
                <w:u w:val="single"/>
                <w:lang w:val="en-GB"/>
              </w:rPr>
              <w:t>Analysis</w:t>
            </w:r>
            <w:r w:rsidRPr="005A2D6B">
              <w:rPr>
                <w:rFonts w:ascii="Verdana" w:eastAsia="MS Mincho" w:hAnsi="Verdana" w:cs="Times New Roman"/>
                <w:sz w:val="18"/>
                <w:szCs w:val="18"/>
                <w:lang w:val="en-GB"/>
              </w:rPr>
              <w:t>:</w:t>
            </w:r>
            <w:r w:rsidRPr="0099316A">
              <w:rPr>
                <w:rFonts w:ascii="Verdana" w:eastAsia="MS Mincho" w:hAnsi="Verdana" w:cs="Times New Roman"/>
                <w:b w:val="0"/>
                <w:sz w:val="18"/>
                <w:szCs w:val="18"/>
                <w:lang w:val="en-GB"/>
              </w:rPr>
              <w:t>The Court found that the prosecuting authorities had deficiently assessed the circumstances of the case. Insisting on the applicant’s non-Roma origin, they had failed to identify whether the attackers had perceived her as being of Roma origin herself, and to establish the link between the racist motive for the attack and the applicant’s association with her partner. The result was the impairment of the Croatian authorities’ procedural response to the applicant’s allegations, and with respect to taking all reasonable steps in unmasking the role of racist motives in the incident. The Court concluded that, in rejecting the applicant’s complaint without conducting further investigation, the authorities had failed in their obligations under the Convention and had been in violation of Article 3 under its procedural aspect in conjunction with Article 14.</w:t>
            </w:r>
          </w:p>
          <w:p w:rsidR="00113F03" w:rsidRPr="0099316A" w:rsidRDefault="00113F03" w:rsidP="00DD5F20">
            <w:pPr>
              <w:contextualSpacing/>
              <w:jc w:val="both"/>
              <w:rPr>
                <w:rFonts w:ascii="Verdana" w:eastAsia="MS Mincho" w:hAnsi="Verdana" w:cs="Times New Roman"/>
                <w:b w:val="0"/>
                <w:color w:val="0000FF"/>
                <w:sz w:val="18"/>
                <w:szCs w:val="18"/>
                <w:u w:val="single"/>
                <w:lang w:val="en-GB"/>
              </w:rPr>
            </w:pPr>
          </w:p>
          <w:p w:rsidR="00113F03" w:rsidRPr="008A5DC8" w:rsidRDefault="00113F03" w:rsidP="00DD5F20">
            <w:pPr>
              <w:contextualSpacing/>
              <w:jc w:val="both"/>
              <w:rPr>
                <w:rFonts w:ascii="Verdana" w:eastAsia="MS Mincho" w:hAnsi="Verdana" w:cs="Times New Roman"/>
                <w:b w:val="0"/>
                <w:sz w:val="18"/>
                <w:szCs w:val="18"/>
                <w:lang w:val="en-GB"/>
              </w:rPr>
            </w:pPr>
          </w:p>
          <w:p w:rsidR="00113F03" w:rsidRPr="0099316A" w:rsidRDefault="00113F03" w:rsidP="00DD5F20">
            <w:pPr>
              <w:ind w:left="720"/>
              <w:contextualSpacing/>
              <w:jc w:val="both"/>
              <w:rPr>
                <w:rFonts w:ascii="Verdana" w:eastAsia="MS Mincho" w:hAnsi="Verdana" w:cs="Times New Roman"/>
                <w:b w:val="0"/>
                <w:i/>
                <w:sz w:val="18"/>
                <w:szCs w:val="18"/>
                <w:lang w:val="en-GB"/>
              </w:rPr>
            </w:pPr>
            <w:r w:rsidRPr="0099316A">
              <w:rPr>
                <w:rFonts w:ascii="Verdana" w:eastAsia="MS Mincho" w:hAnsi="Verdana" w:cs="Times New Roman"/>
                <w:b w:val="0"/>
                <w:i/>
                <w:sz w:val="18"/>
                <w:szCs w:val="18"/>
                <w:u w:val="single"/>
              </w:rPr>
              <w:t>Para. 65</w:t>
            </w:r>
            <w:r w:rsidRPr="0099316A">
              <w:rPr>
                <w:rFonts w:ascii="Verdana" w:eastAsia="MS Mincho" w:hAnsi="Verdana" w:cs="Times New Roman"/>
                <w:b w:val="0"/>
                <w:i/>
                <w:sz w:val="18"/>
                <w:szCs w:val="18"/>
              </w:rPr>
              <w:t>:</w:t>
            </w:r>
            <w:r w:rsidRPr="00113F03">
              <w:rPr>
                <w:rFonts w:ascii="Verdana" w:eastAsia="MS Mincho" w:hAnsi="Verdana" w:cs="Times New Roman"/>
                <w:i/>
                <w:sz w:val="18"/>
                <w:szCs w:val="18"/>
                <w:lang w:val="en-GB"/>
              </w:rPr>
              <w:t>The Court would reiterate that where any evidence of racist verbal abuse comes to light in an investigation, it must be checked and, if confirmed, a thorough examination of all the facts should be undertaken in order to uncover any possible racist motives</w:t>
            </w:r>
            <w:r w:rsidRPr="0099316A">
              <w:rPr>
                <w:rFonts w:ascii="Verdana" w:eastAsia="MS Mincho" w:hAnsi="Verdana" w:cs="Times New Roman"/>
                <w:b w:val="0"/>
                <w:i/>
                <w:sz w:val="18"/>
                <w:szCs w:val="18"/>
                <w:lang w:val="en-GB"/>
              </w:rPr>
              <w:t xml:space="preserve"> (see </w:t>
            </w:r>
            <w:r w:rsidRPr="0099316A">
              <w:rPr>
                <w:rFonts w:ascii="Verdana" w:eastAsia="MS Mincho" w:hAnsi="Verdana" w:cs="Times New Roman"/>
                <w:b w:val="0"/>
                <w:i/>
                <w:iCs/>
                <w:sz w:val="18"/>
                <w:szCs w:val="18"/>
                <w:lang w:val="en-GB"/>
              </w:rPr>
              <w:t>Balázs</w:t>
            </w:r>
            <w:r w:rsidRPr="0099316A">
              <w:rPr>
                <w:rFonts w:ascii="Verdana" w:eastAsia="MS Mincho" w:hAnsi="Verdana" w:cs="Times New Roman"/>
                <w:b w:val="0"/>
                <w:i/>
                <w:sz w:val="18"/>
                <w:szCs w:val="18"/>
                <w:lang w:val="en-GB"/>
              </w:rPr>
              <w:t xml:space="preserve">, cited above, § 61). Moreover, the general context of the attack has to be taken into account. As explained in the Court’s case-law, the domestic authorities should be mindful that perpetrators may have mixed motives, being influenced by situational factors equally or stronger than by their biased attitude (see paragraph 55 above). </w:t>
            </w:r>
          </w:p>
          <w:p w:rsidR="00113F03" w:rsidRPr="0099316A" w:rsidRDefault="00113F03" w:rsidP="00DD5F20">
            <w:pPr>
              <w:ind w:left="720"/>
              <w:contextualSpacing/>
              <w:jc w:val="both"/>
              <w:rPr>
                <w:rFonts w:ascii="Verdana" w:eastAsia="MS Mincho" w:hAnsi="Verdana" w:cs="Times New Roman"/>
                <w:b w:val="0"/>
                <w:i/>
                <w:sz w:val="18"/>
                <w:szCs w:val="18"/>
                <w:lang w:val="en-GB"/>
              </w:rPr>
            </w:pPr>
          </w:p>
          <w:p w:rsidR="00113F03" w:rsidRPr="0099316A" w:rsidRDefault="00113F03" w:rsidP="00DD5F20">
            <w:pPr>
              <w:ind w:left="720"/>
              <w:contextualSpacing/>
              <w:jc w:val="both"/>
              <w:rPr>
                <w:rFonts w:ascii="Verdana" w:eastAsia="MS Mincho" w:hAnsi="Verdana" w:cs="Times New Roman"/>
                <w:b w:val="0"/>
                <w:i/>
                <w:sz w:val="18"/>
                <w:szCs w:val="18"/>
              </w:rPr>
            </w:pPr>
            <w:r w:rsidRPr="0099316A">
              <w:rPr>
                <w:rFonts w:ascii="Verdana" w:eastAsia="MS Mincho" w:hAnsi="Verdana" w:cs="Times New Roman"/>
                <w:b w:val="0"/>
                <w:i/>
                <w:sz w:val="18"/>
                <w:szCs w:val="18"/>
                <w:u w:val="single"/>
                <w:lang w:val="en-GB"/>
              </w:rPr>
              <w:t>Para. 66</w:t>
            </w:r>
            <w:r w:rsidRPr="0099316A">
              <w:rPr>
                <w:rFonts w:ascii="Verdana" w:eastAsia="MS Mincho" w:hAnsi="Verdana" w:cs="Times New Roman"/>
                <w:b w:val="0"/>
                <w:i/>
                <w:sz w:val="18"/>
                <w:szCs w:val="18"/>
                <w:lang w:val="en-GB"/>
              </w:rPr>
              <w:t>:</w:t>
            </w:r>
            <w:r w:rsidRPr="0099316A">
              <w:rPr>
                <w:rFonts w:ascii="Verdana" w:eastAsia="MS Mincho" w:hAnsi="Verdana" w:cs="Times New Roman"/>
                <w:b w:val="0"/>
                <w:i/>
                <w:sz w:val="18"/>
                <w:szCs w:val="18"/>
              </w:rPr>
              <w:t xml:space="preserve"> (…) </w:t>
            </w:r>
            <w:r w:rsidRPr="00113F03">
              <w:rPr>
                <w:rFonts w:ascii="Verdana" w:eastAsia="MS Mincho" w:hAnsi="Verdana" w:cs="Times New Roman"/>
                <w:i/>
                <w:sz w:val="18"/>
                <w:szCs w:val="18"/>
              </w:rPr>
              <w:t>it is salutary to reiterate that under the Convention the obligation on the authorities to seek a possible link between racist attitudes and a given act of violence exists not only with regard to acts of violence based on the victim’s actual or perceived personal status or characteristics but also with regard to acts of violence based on the victim’s actual or perceived association or affiliation with another person who actually or presumably possesses a particular status or protected characteristic</w:t>
            </w:r>
            <w:r w:rsidRPr="0099316A">
              <w:rPr>
                <w:rFonts w:ascii="Verdana" w:eastAsia="MS Mincho" w:hAnsi="Verdana" w:cs="Times New Roman"/>
                <w:b w:val="0"/>
                <w:i/>
                <w:sz w:val="18"/>
                <w:szCs w:val="18"/>
              </w:rPr>
              <w:t xml:space="preserve"> (see paragraph 56 above). Indeed, some hate crime victims are chosen not because they hold a particular characteristic but because of their association with another person who actually or presumably possesses the relevant characteristic. This connection may take the form of the victim’s membership of or association with a particular group, or the victim’s actual or perceived affiliation with a member of a particular group through, for instance, a personal relationship, friendship or marriage (see paragraphs 33-34 above).</w:t>
            </w:r>
          </w:p>
          <w:p w:rsidR="00113F03" w:rsidRPr="008C58E8" w:rsidRDefault="00113F03" w:rsidP="00DD5F20">
            <w:pPr>
              <w:jc w:val="both"/>
              <w:rPr>
                <w:rFonts w:ascii="Verdana" w:eastAsia="MS Mincho" w:hAnsi="Verdana" w:cs="Times New Roman"/>
                <w:sz w:val="18"/>
                <w:szCs w:val="18"/>
              </w:rPr>
            </w:pPr>
          </w:p>
        </w:tc>
      </w:tr>
    </w:tbl>
    <w:p w:rsidR="00113F03" w:rsidRPr="00113F03" w:rsidRDefault="00113F03" w:rsidP="00113F03">
      <w:pPr>
        <w:jc w:val="both"/>
        <w:rPr>
          <w:rFonts w:ascii="Times New Roman" w:hAnsi="Times New Roman" w:cs="Times New Roman"/>
          <w:iCs/>
          <w:sz w:val="24"/>
          <w:szCs w:val="24"/>
          <w:lang w:val="en-GB"/>
        </w:rPr>
      </w:pPr>
    </w:p>
    <w:p w:rsidR="00E93A01" w:rsidRPr="00F96F17" w:rsidRDefault="00E93A01" w:rsidP="00113F03">
      <w:pPr>
        <w:jc w:val="both"/>
        <w:rPr>
          <w:rFonts w:ascii="Times New Roman" w:hAnsi="Times New Roman" w:cs="Times New Roman"/>
          <w:iCs/>
          <w:sz w:val="24"/>
          <w:szCs w:val="24"/>
          <w:lang w:val="en-US"/>
        </w:rPr>
      </w:pPr>
    </w:p>
    <w:p w:rsidR="00BF7CAD" w:rsidRDefault="00113F03" w:rsidP="00113F03">
      <w:pPr>
        <w:pStyle w:val="Cmsor1"/>
        <w:rPr>
          <w:lang w:val="en-US"/>
        </w:rPr>
      </w:pPr>
      <w:bookmarkStart w:id="4" w:name="_Toc490844994"/>
      <w:r>
        <w:rPr>
          <w:lang w:val="en-US"/>
        </w:rPr>
        <w:lastRenderedPageBreak/>
        <w:t>2</w:t>
      </w:r>
      <w:r w:rsidR="00BF7CAD" w:rsidRPr="00BF7CAD">
        <w:rPr>
          <w:lang w:val="en-US"/>
        </w:rPr>
        <w:t>. Implications of hate crimes</w:t>
      </w:r>
      <w:bookmarkEnd w:id="4"/>
    </w:p>
    <w:p w:rsidR="00DB566C" w:rsidRDefault="00DB566C" w:rsidP="00BF7CAD">
      <w:pPr>
        <w:jc w:val="both"/>
        <w:rPr>
          <w:i/>
          <w:iCs/>
          <w:color w:val="808080" w:themeColor="text1" w:themeTint="7F"/>
          <w:lang w:val="en-US"/>
        </w:rPr>
      </w:pPr>
    </w:p>
    <w:p w:rsidR="00BF7CAD" w:rsidRPr="00BF7CAD" w:rsidRDefault="00BF7CAD" w:rsidP="00BF7CAD">
      <w:pPr>
        <w:jc w:val="both"/>
        <w:rPr>
          <w:rFonts w:ascii="Times New Roman" w:hAnsi="Times New Roman" w:cs="Times New Roman"/>
          <w:b/>
          <w:iCs/>
          <w:sz w:val="24"/>
          <w:szCs w:val="24"/>
          <w:lang w:val="en-US"/>
        </w:rPr>
      </w:pPr>
      <w:r w:rsidRPr="00BF7CAD">
        <w:rPr>
          <w:i/>
          <w:iCs/>
          <w:color w:val="808080" w:themeColor="text1" w:themeTint="7F"/>
          <w:lang w:val="en-US"/>
        </w:rPr>
        <w:t>Victims of hate crimes often continue to feel threatened long after an attack due to being targeted simply because of who they are.  These crimes victimize everyone - individuals and our entire community.</w:t>
      </w:r>
      <w:r w:rsidRPr="00BF7CAD">
        <w:rPr>
          <w:rFonts w:ascii="Times New Roman" w:hAnsi="Times New Roman" w:cs="Times New Roman"/>
          <w:iCs/>
          <w:szCs w:val="24"/>
          <w:vertAlign w:val="superscript"/>
          <w:lang w:val="en-US"/>
        </w:rPr>
        <w:footnoteReference w:id="22"/>
      </w:r>
    </w:p>
    <w:p w:rsidR="00BF7CAD" w:rsidRPr="00BF7CAD" w:rsidRDefault="007A2D61" w:rsidP="002800D4">
      <w:pPr>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As mentioned, t</w:t>
      </w:r>
      <w:r w:rsidR="00BF7CAD" w:rsidRPr="00BF7CAD">
        <w:rPr>
          <w:rFonts w:ascii="Times New Roman" w:hAnsi="Times New Roman" w:cs="Times New Roman"/>
          <w:iCs/>
          <w:sz w:val="24"/>
          <w:szCs w:val="24"/>
          <w:lang w:val="en-US"/>
        </w:rPr>
        <w:t>he two principle characteristics of hate crimes are that they need to constitute acts punishable under national criminal legislation</w:t>
      </w:r>
      <w:r>
        <w:rPr>
          <w:rFonts w:ascii="Times New Roman" w:hAnsi="Times New Roman" w:cs="Times New Roman"/>
          <w:iCs/>
          <w:sz w:val="24"/>
          <w:szCs w:val="24"/>
          <w:lang w:val="en-US"/>
        </w:rPr>
        <w:t>, and</w:t>
      </w:r>
      <w:r w:rsidR="00BF7CAD" w:rsidRPr="00BF7CAD">
        <w:rPr>
          <w:rFonts w:ascii="Times New Roman" w:hAnsi="Times New Roman" w:cs="Times New Roman"/>
          <w:iCs/>
          <w:sz w:val="24"/>
          <w:szCs w:val="24"/>
          <w:lang w:val="en-US"/>
        </w:rPr>
        <w:t xml:space="preserve"> that their perpetrators need to have been motivated by a biased view towards the victim(s). </w:t>
      </w:r>
      <w:r>
        <w:rPr>
          <w:rFonts w:ascii="Times New Roman" w:hAnsi="Times New Roman" w:cs="Times New Roman"/>
          <w:iCs/>
          <w:sz w:val="24"/>
          <w:szCs w:val="24"/>
          <w:lang w:val="en-US"/>
        </w:rPr>
        <w:t>That is, the motive need not relate to who the victim(s) actually</w:t>
      </w:r>
      <w:r w:rsidR="00BF7CAD" w:rsidRPr="00BF7CAD">
        <w:rPr>
          <w:rFonts w:ascii="Times New Roman" w:hAnsi="Times New Roman" w:cs="Times New Roman"/>
          <w:iCs/>
          <w:sz w:val="24"/>
          <w:szCs w:val="24"/>
          <w:lang w:val="en-US"/>
        </w:rPr>
        <w:t xml:space="preserve"> are or what they have done, </w:t>
      </w:r>
      <w:r>
        <w:rPr>
          <w:rFonts w:ascii="Times New Roman" w:hAnsi="Times New Roman" w:cs="Times New Roman"/>
          <w:iCs/>
          <w:sz w:val="24"/>
          <w:szCs w:val="24"/>
          <w:lang w:val="en-US"/>
        </w:rPr>
        <w:t>but rather to what they represent.</w:t>
      </w:r>
    </w:p>
    <w:p w:rsidR="00BF7CAD" w:rsidRPr="00870683" w:rsidRDefault="00BF7CAD" w:rsidP="00870683">
      <w:pPr>
        <w:ind w:firstLine="720"/>
        <w:jc w:val="both"/>
        <w:rPr>
          <w:rFonts w:ascii="Times New Roman" w:hAnsi="Times New Roman" w:cs="Times New Roman"/>
          <w:iCs/>
          <w:sz w:val="24"/>
          <w:szCs w:val="24"/>
          <w:lang w:val="en-US"/>
        </w:rPr>
      </w:pPr>
      <w:r w:rsidRPr="00BF7CAD">
        <w:rPr>
          <w:rFonts w:ascii="Times New Roman" w:hAnsi="Times New Roman" w:cs="Times New Roman"/>
          <w:iCs/>
          <w:sz w:val="24"/>
          <w:szCs w:val="24"/>
          <w:lang w:val="en-US"/>
        </w:rPr>
        <w:t>It is through this latter aspect that it becomes apparent why the implications of hate crimes are far more extensive and grave in relation to those of a regular crime, and why a range of international and European instruments have been created to address them</w:t>
      </w:r>
      <w:r w:rsidR="00401E38">
        <w:rPr>
          <w:rFonts w:ascii="Times New Roman" w:hAnsi="Times New Roman" w:cs="Times New Roman"/>
          <w:iCs/>
          <w:sz w:val="24"/>
          <w:szCs w:val="24"/>
          <w:lang w:val="en-US"/>
        </w:rPr>
        <w:t xml:space="preserve"> (for more, see Section 4</w:t>
      </w:r>
      <w:r w:rsidR="007A2D61">
        <w:rPr>
          <w:rFonts w:ascii="Times New Roman" w:hAnsi="Times New Roman" w:cs="Times New Roman"/>
          <w:iCs/>
          <w:sz w:val="24"/>
          <w:szCs w:val="24"/>
          <w:lang w:val="en-US"/>
        </w:rPr>
        <w:t xml:space="preserve"> of the current manual)</w:t>
      </w:r>
      <w:r w:rsidRPr="00BF7CAD">
        <w:rPr>
          <w:rFonts w:ascii="Times New Roman" w:hAnsi="Times New Roman" w:cs="Times New Roman"/>
          <w:iCs/>
          <w:sz w:val="24"/>
          <w:szCs w:val="24"/>
          <w:lang w:val="en-US"/>
        </w:rPr>
        <w:t>. Hate crimes are not only meant to directly harm the victim; they are simultaneously meant to harm the wider community to which the victim belongs, by inducing fear or otherwise terrorizing the totality of its members. This is also why there is need to have a different legal approach when addressing hate crimes, as their extended impact necessitates additional means for both adequately addressing them at their roots, as well as for serving justice. Hate crimes, ultimately, pertain not only to the physical, material and/or psychological well-being of the victims, themselves, but they are also in direct contradiction to established laws and norms pertaining to the respect of democratic rights and</w:t>
      </w:r>
      <w:r w:rsidR="00BD2A7A">
        <w:rPr>
          <w:rFonts w:ascii="Times New Roman" w:hAnsi="Times New Roman" w:cs="Times New Roman"/>
          <w:iCs/>
          <w:sz w:val="24"/>
          <w:szCs w:val="24"/>
          <w:lang w:val="en-US"/>
        </w:rPr>
        <w:t xml:space="preserve"> values in modern day societies.</w:t>
      </w:r>
    </w:p>
    <w:p w:rsidR="00BF7CAD" w:rsidRPr="00BF7CAD" w:rsidRDefault="00BF7CAD" w:rsidP="00BF7CAD">
      <w:pPr>
        <w:jc w:val="both"/>
        <w:rPr>
          <w:rFonts w:ascii="Times New Roman" w:hAnsi="Times New Roman" w:cs="Times New Roman"/>
          <w:iCs/>
          <w:szCs w:val="24"/>
          <w:lang w:val="en-US"/>
        </w:rPr>
      </w:pPr>
    </w:p>
    <w:tbl>
      <w:tblPr>
        <w:tblStyle w:val="MediumGrid1-Accent52"/>
        <w:tblW w:w="0" w:type="auto"/>
        <w:tblLook w:val="04A0"/>
      </w:tblPr>
      <w:tblGrid>
        <w:gridCol w:w="8440"/>
      </w:tblGrid>
      <w:tr w:rsidR="00BF7CAD" w:rsidRPr="00595388" w:rsidTr="00D231D8">
        <w:trPr>
          <w:cnfStyle w:val="100000000000"/>
        </w:trPr>
        <w:tc>
          <w:tcPr>
            <w:cnfStyle w:val="001000000000"/>
            <w:tcW w:w="8440" w:type="dxa"/>
          </w:tcPr>
          <w:p w:rsidR="00BF7CAD" w:rsidRPr="00BF7CAD" w:rsidRDefault="00BF7CAD" w:rsidP="00BF7CAD">
            <w:pPr>
              <w:contextualSpacing/>
              <w:jc w:val="both"/>
              <w:rPr>
                <w:rFonts w:ascii="Verdana" w:hAnsi="Verdana"/>
                <w:sz w:val="18"/>
                <w:szCs w:val="18"/>
                <w:lang w:val="en-GB"/>
              </w:rPr>
            </w:pPr>
          </w:p>
          <w:p w:rsidR="00BF7CAD" w:rsidRPr="00BF7CAD" w:rsidRDefault="00BF7CAD" w:rsidP="00BF7CAD">
            <w:pPr>
              <w:contextualSpacing/>
              <w:jc w:val="both"/>
              <w:rPr>
                <w:rFonts w:ascii="Verdana" w:eastAsia="MS Mincho" w:hAnsi="Verdana" w:cs="Times New Roman"/>
                <w:b w:val="0"/>
                <w:iCs/>
                <w:color w:val="943634"/>
                <w:sz w:val="19"/>
                <w:szCs w:val="19"/>
              </w:rPr>
            </w:pPr>
            <w:r w:rsidRPr="00BF7CAD">
              <w:rPr>
                <w:rFonts w:ascii="Verdana" w:eastAsia="MS Mincho" w:hAnsi="Verdana" w:cs="Times New Roman"/>
                <w:b w:val="0"/>
                <w:color w:val="943634"/>
                <w:sz w:val="19"/>
                <w:szCs w:val="19"/>
              </w:rPr>
              <w:t xml:space="preserve">European Court of Human Rights, </w:t>
            </w:r>
            <w:r w:rsidRPr="00BF7CAD">
              <w:rPr>
                <w:rFonts w:ascii="Verdana" w:eastAsia="MS Mincho" w:hAnsi="Verdana" w:cs="Times New Roman"/>
                <w:b w:val="0"/>
                <w:iCs/>
                <w:color w:val="943634"/>
                <w:sz w:val="19"/>
                <w:szCs w:val="19"/>
              </w:rPr>
              <w:t>CASE OF ŠKORJANEC v. CROATIA</w:t>
            </w:r>
            <w:r w:rsidRPr="00BF7CAD">
              <w:rPr>
                <w:rFonts w:ascii="Verdana" w:eastAsia="MS Mincho" w:hAnsi="Verdana" w:cs="Times New Roman"/>
                <w:b w:val="0"/>
                <w:color w:val="943634"/>
                <w:sz w:val="19"/>
                <w:szCs w:val="19"/>
              </w:rPr>
              <w:t xml:space="preserve">, </w:t>
            </w:r>
            <w:r w:rsidRPr="00BF7CAD">
              <w:rPr>
                <w:rFonts w:ascii="Verdana" w:eastAsia="MS Mincho" w:hAnsi="Verdana" w:cs="Times New Roman"/>
                <w:b w:val="0"/>
                <w:i/>
                <w:iCs/>
                <w:color w:val="943634"/>
                <w:sz w:val="19"/>
                <w:szCs w:val="19"/>
              </w:rPr>
              <w:t>Application no. 25536/14</w:t>
            </w:r>
            <w:r w:rsidRPr="00BF7CAD">
              <w:rPr>
                <w:rFonts w:ascii="Verdana" w:eastAsia="MS Mincho" w:hAnsi="Verdana" w:cs="Times New Roman"/>
                <w:b w:val="0"/>
                <w:iCs/>
                <w:color w:val="943634"/>
                <w:sz w:val="19"/>
                <w:szCs w:val="19"/>
              </w:rPr>
              <w:t xml:space="preserve">, Judgment of 28 March 2017 </w:t>
            </w:r>
            <w:hyperlink r:id="rId12" w:history="1">
              <w:r w:rsidRPr="007A2D61">
                <w:rPr>
                  <w:rFonts w:ascii="Verdana" w:eastAsia="MS Mincho" w:hAnsi="Verdana" w:cs="Times New Roman"/>
                  <w:b w:val="0"/>
                  <w:iCs/>
                  <w:color w:val="0000FF" w:themeColor="hyperlink"/>
                  <w:sz w:val="19"/>
                  <w:szCs w:val="19"/>
                  <w:u w:val="single"/>
                </w:rPr>
                <w:t>link</w:t>
              </w:r>
            </w:hyperlink>
          </w:p>
          <w:p w:rsidR="00BF7CAD" w:rsidRPr="00BF7CAD" w:rsidRDefault="00BF7CAD" w:rsidP="00BF7CAD">
            <w:pPr>
              <w:contextualSpacing/>
              <w:jc w:val="both"/>
              <w:rPr>
                <w:rFonts w:ascii="Verdana" w:eastAsia="MS Mincho" w:hAnsi="Verdana" w:cs="Times New Roman"/>
                <w:iCs/>
                <w:color w:val="943634"/>
                <w:sz w:val="19"/>
                <w:szCs w:val="19"/>
              </w:rPr>
            </w:pPr>
          </w:p>
          <w:p w:rsidR="00BF7CAD" w:rsidRPr="00BF7CAD" w:rsidRDefault="00BF7CAD" w:rsidP="00BF7CAD">
            <w:pPr>
              <w:contextualSpacing/>
              <w:jc w:val="both"/>
              <w:rPr>
                <w:rFonts w:ascii="Verdana" w:hAnsi="Verdana"/>
                <w:b w:val="0"/>
                <w:i/>
                <w:sz w:val="18"/>
                <w:szCs w:val="18"/>
              </w:rPr>
            </w:pPr>
            <w:r w:rsidRPr="00BF7CAD">
              <w:rPr>
                <w:rFonts w:ascii="Verdana" w:hAnsi="Verdana"/>
                <w:b w:val="0"/>
                <w:i/>
                <w:sz w:val="18"/>
                <w:szCs w:val="18"/>
              </w:rPr>
              <w:t xml:space="preserve">53. […] the Court would reiterate that when investigating violent incidents triggered by suspected racist attitudes, the State authorities are required to take all reasonable action to ascertain whether there were racist motives and to establish whether feelings of hatred or prejudices based on a person’s ethnic origin played a role in the events. </w:t>
            </w:r>
            <w:r w:rsidRPr="00BF7CAD">
              <w:rPr>
                <w:rFonts w:ascii="Verdana" w:hAnsi="Verdana"/>
                <w:i/>
                <w:sz w:val="18"/>
                <w:szCs w:val="18"/>
              </w:rPr>
              <w:t>Treating racially motivated violence and brutality on an equal footing with cases lacking any racist overtones would be tantamount to turning a blind eye to the specific nature of acts which are particularly destructive of fundamental human rights.</w:t>
            </w:r>
            <w:r w:rsidRPr="00BF7CAD">
              <w:rPr>
                <w:rFonts w:ascii="Verdana" w:hAnsi="Verdana"/>
                <w:b w:val="0"/>
                <w:i/>
                <w:sz w:val="18"/>
                <w:szCs w:val="18"/>
              </w:rPr>
              <w:t xml:space="preserve"> A failure to make a distinction in the way in which situations which are essentially different are handled may constitute unjustified treatment irreconcilable with Article 14 of the Convention (see Abdu, cited above, § 44).</w:t>
            </w:r>
          </w:p>
          <w:p w:rsidR="00BF7CAD" w:rsidRPr="00BF7CAD" w:rsidRDefault="00BF7CAD" w:rsidP="00BF7CAD">
            <w:pPr>
              <w:contextualSpacing/>
              <w:jc w:val="both"/>
              <w:rPr>
                <w:rFonts w:ascii="Verdana" w:hAnsi="Verdana"/>
                <w:b w:val="0"/>
                <w:i/>
                <w:sz w:val="18"/>
                <w:szCs w:val="18"/>
              </w:rPr>
            </w:pPr>
          </w:p>
          <w:p w:rsidR="00BF7CAD" w:rsidRPr="00BF7CAD" w:rsidRDefault="00BF7CAD" w:rsidP="00BF7CAD">
            <w:pPr>
              <w:contextualSpacing/>
              <w:jc w:val="both"/>
              <w:rPr>
                <w:rFonts w:ascii="Verdana" w:hAnsi="Verdana"/>
                <w:sz w:val="18"/>
                <w:szCs w:val="18"/>
              </w:rPr>
            </w:pPr>
          </w:p>
        </w:tc>
      </w:tr>
    </w:tbl>
    <w:p w:rsidR="00BF7CAD" w:rsidRPr="00BF7CAD" w:rsidRDefault="00BF7CAD" w:rsidP="00BF7CAD">
      <w:pPr>
        <w:jc w:val="both"/>
        <w:rPr>
          <w:rFonts w:ascii="Times New Roman" w:hAnsi="Times New Roman" w:cs="Times New Roman"/>
          <w:iCs/>
          <w:szCs w:val="24"/>
          <w:lang w:val="en-US"/>
        </w:rPr>
      </w:pPr>
    </w:p>
    <w:p w:rsidR="00BF7CAD" w:rsidRPr="00BF7CAD" w:rsidRDefault="00BF7CAD" w:rsidP="00A36883">
      <w:pPr>
        <w:ind w:firstLine="720"/>
        <w:jc w:val="both"/>
        <w:rPr>
          <w:rFonts w:ascii="Times New Roman" w:hAnsi="Times New Roman" w:cs="Times New Roman"/>
          <w:iCs/>
          <w:sz w:val="24"/>
          <w:szCs w:val="24"/>
          <w:lang w:val="en-US"/>
        </w:rPr>
      </w:pPr>
      <w:r w:rsidRPr="00BF7CAD">
        <w:rPr>
          <w:rFonts w:ascii="Times New Roman" w:hAnsi="Times New Roman" w:cs="Times New Roman"/>
          <w:iCs/>
          <w:sz w:val="24"/>
          <w:szCs w:val="24"/>
          <w:lang w:val="en-US"/>
        </w:rPr>
        <w:lastRenderedPageBreak/>
        <w:t>For the purposes of this section, the implications of hate crimes will be distinguished at two different levels: the individual/group, and that of society as a whole.</w:t>
      </w:r>
    </w:p>
    <w:p w:rsidR="00A36883" w:rsidRPr="00BF7CAD" w:rsidRDefault="00A36883" w:rsidP="00BF7CAD">
      <w:pPr>
        <w:jc w:val="both"/>
        <w:rPr>
          <w:rFonts w:ascii="Times New Roman" w:hAnsi="Times New Roman" w:cs="Times New Roman"/>
          <w:iCs/>
          <w:szCs w:val="24"/>
          <w:lang w:val="en-US"/>
        </w:rPr>
      </w:pPr>
    </w:p>
    <w:p w:rsidR="00BF7CAD" w:rsidRPr="00BF7CAD" w:rsidRDefault="004B3ECB" w:rsidP="004B3ECB">
      <w:pPr>
        <w:pStyle w:val="Cmsor2"/>
        <w:rPr>
          <w:lang w:val="en-US" w:eastAsia="en-US"/>
        </w:rPr>
      </w:pPr>
      <w:bookmarkStart w:id="5" w:name="_Toc490844995"/>
      <w:r>
        <w:rPr>
          <w:lang w:val="en-US" w:eastAsia="en-US"/>
        </w:rPr>
        <w:t>2</w:t>
      </w:r>
      <w:r w:rsidR="00BF7CAD" w:rsidRPr="00BF7CAD">
        <w:rPr>
          <w:lang w:val="en-US" w:eastAsia="en-US"/>
        </w:rPr>
        <w:t>.1 Implications for the victim(s)</w:t>
      </w:r>
      <w:bookmarkEnd w:id="5"/>
    </w:p>
    <w:p w:rsidR="001B0532" w:rsidRDefault="001B0532" w:rsidP="00BF7CAD">
      <w:pPr>
        <w:jc w:val="both"/>
        <w:rPr>
          <w:rFonts w:ascii="Times New Roman" w:hAnsi="Times New Roman" w:cs="Times New Roman"/>
          <w:iCs/>
          <w:szCs w:val="24"/>
          <w:lang w:val="en-US"/>
        </w:rPr>
      </w:pPr>
    </w:p>
    <w:p w:rsidR="00BF7CAD" w:rsidRPr="00BF7CAD" w:rsidRDefault="00BF7CAD" w:rsidP="00BF7CAD">
      <w:pPr>
        <w:jc w:val="both"/>
        <w:rPr>
          <w:rFonts w:ascii="Times New Roman" w:hAnsi="Times New Roman" w:cs="Times New Roman"/>
          <w:iCs/>
          <w:sz w:val="24"/>
          <w:szCs w:val="24"/>
          <w:lang w:val="en-US"/>
        </w:rPr>
      </w:pPr>
      <w:r w:rsidRPr="00BF7CAD">
        <w:rPr>
          <w:rFonts w:ascii="Times New Roman" w:hAnsi="Times New Roman" w:cs="Times New Roman"/>
          <w:iCs/>
          <w:sz w:val="24"/>
          <w:szCs w:val="24"/>
          <w:lang w:val="en-US"/>
        </w:rPr>
        <w:t xml:space="preserve">As discussed, hate crimes have far deeper implications than those of regular crimes. The victim or victims are targeted due to how they are perceived by the perpetrator(s). Whether this perception is the result of an actual or alleged characteristic that designates them as members of a particular societal group is irrelevant. The important things to remember is that the motive behind the offence lies on a highly stereotypical and negative view of such a group, and that the crime is meant to clearly send the message that individuals whom are perceived as belonging to that group are unwanted within society. </w:t>
      </w:r>
    </w:p>
    <w:p w:rsidR="00BF7CAD" w:rsidRPr="00BF7CAD" w:rsidRDefault="00BF7CAD" w:rsidP="00BD2A7A">
      <w:pPr>
        <w:ind w:firstLine="720"/>
        <w:jc w:val="both"/>
        <w:rPr>
          <w:rFonts w:ascii="Times New Roman" w:hAnsi="Times New Roman" w:cs="Times New Roman"/>
          <w:iCs/>
          <w:sz w:val="24"/>
          <w:szCs w:val="24"/>
          <w:lang w:val="en-US"/>
        </w:rPr>
      </w:pPr>
      <w:r w:rsidRPr="00BF7CAD">
        <w:rPr>
          <w:rFonts w:ascii="Times New Roman" w:hAnsi="Times New Roman" w:cs="Times New Roman"/>
          <w:iCs/>
          <w:sz w:val="24"/>
          <w:szCs w:val="24"/>
          <w:lang w:val="en-US"/>
        </w:rPr>
        <w:t>Put otherwise, victims are targeted, not due to something they have done and thus which they can, theore</w:t>
      </w:r>
      <w:r w:rsidR="00BD2A7A">
        <w:rPr>
          <w:rFonts w:ascii="Times New Roman" w:hAnsi="Times New Roman" w:cs="Times New Roman"/>
          <w:iCs/>
          <w:sz w:val="24"/>
          <w:szCs w:val="24"/>
          <w:lang w:val="en-US"/>
        </w:rPr>
        <w:t>tically, address, but due to what</w:t>
      </w:r>
      <w:r w:rsidRPr="00BF7CAD">
        <w:rPr>
          <w:rFonts w:ascii="Times New Roman" w:hAnsi="Times New Roman" w:cs="Times New Roman"/>
          <w:iCs/>
          <w:sz w:val="24"/>
          <w:szCs w:val="24"/>
          <w:lang w:val="en-US"/>
        </w:rPr>
        <w:t xml:space="preserve"> they are perceived to be; on the basis of their very identity, and thus of an intrinsic and immutable characteristic which provides them with a sense of belonging and, more importantly, a sense of the self. As a consequence, hate crimes have a much deeper psychological impact on the victim’s private life, and, amongst others, can create fear for their physical integrity, anxiety and depression.</w:t>
      </w:r>
      <w:r w:rsidRPr="001B0532">
        <w:rPr>
          <w:rFonts w:ascii="Times New Roman" w:hAnsi="Times New Roman" w:cs="Times New Roman"/>
          <w:iCs/>
          <w:sz w:val="24"/>
          <w:szCs w:val="24"/>
          <w:vertAlign w:val="superscript"/>
          <w:lang w:val="en-US"/>
        </w:rPr>
        <w:footnoteReference w:id="23"/>
      </w:r>
      <w:r w:rsidRPr="00BF7CAD">
        <w:rPr>
          <w:rFonts w:ascii="Times New Roman" w:hAnsi="Times New Roman" w:cs="Times New Roman"/>
          <w:iCs/>
          <w:sz w:val="24"/>
          <w:szCs w:val="24"/>
          <w:lang w:val="en-US"/>
        </w:rPr>
        <w:t xml:space="preserve"> This is also amongst the main reasons why hate crimes are underreported at an EU-wide level, as victims often feel psychologically unable to report the crime.</w:t>
      </w:r>
      <w:r w:rsidRPr="001B0532">
        <w:rPr>
          <w:rFonts w:ascii="Times New Roman" w:hAnsi="Times New Roman" w:cs="Times New Roman"/>
          <w:iCs/>
          <w:sz w:val="24"/>
          <w:szCs w:val="24"/>
          <w:vertAlign w:val="superscript"/>
          <w:lang w:val="en-US"/>
        </w:rPr>
        <w:footnoteReference w:id="24"/>
      </w:r>
    </w:p>
    <w:p w:rsidR="00BF7CAD" w:rsidRPr="00BF7CAD" w:rsidRDefault="00BF7CAD" w:rsidP="00BD2A7A">
      <w:pPr>
        <w:ind w:firstLine="720"/>
        <w:jc w:val="both"/>
        <w:rPr>
          <w:rFonts w:ascii="Times New Roman" w:hAnsi="Times New Roman" w:cs="Times New Roman"/>
          <w:iCs/>
          <w:sz w:val="24"/>
          <w:szCs w:val="24"/>
          <w:lang w:val="en-US"/>
        </w:rPr>
      </w:pPr>
      <w:r w:rsidRPr="00BF7CAD">
        <w:rPr>
          <w:rFonts w:ascii="Times New Roman" w:hAnsi="Times New Roman" w:cs="Times New Roman"/>
          <w:iCs/>
          <w:sz w:val="24"/>
          <w:szCs w:val="24"/>
          <w:lang w:val="en-US"/>
        </w:rPr>
        <w:t>For the same reason, the actual victim(s) are not the sole targets of the offence. Rather, the crime has a number of adverse effects on all other members of the group that share the designated, protected characteristic, which motivated the hate crime.Members of the same group can fee</w:t>
      </w:r>
      <w:r w:rsidR="00BD2A7A">
        <w:rPr>
          <w:rFonts w:ascii="Times New Roman" w:hAnsi="Times New Roman" w:cs="Times New Roman"/>
          <w:iCs/>
          <w:sz w:val="24"/>
          <w:szCs w:val="24"/>
          <w:lang w:val="en-US"/>
        </w:rPr>
        <w:t>l frightened or intimidated by the thought</w:t>
      </w:r>
      <w:r w:rsidRPr="00BF7CAD">
        <w:rPr>
          <w:rFonts w:ascii="Times New Roman" w:hAnsi="Times New Roman" w:cs="Times New Roman"/>
          <w:iCs/>
          <w:sz w:val="24"/>
          <w:szCs w:val="24"/>
          <w:lang w:val="en-US"/>
        </w:rPr>
        <w:t xml:space="preserve"> they may become the victims of a similar crime in the future. The fact that the victim was chosen due to a characteristic they all share in common, and thus to an extent randomly, means that the actual target of the attack</w:t>
      </w:r>
      <w:r w:rsidR="00BD2A7A">
        <w:rPr>
          <w:rFonts w:ascii="Times New Roman" w:hAnsi="Times New Roman" w:cs="Times New Roman"/>
          <w:iCs/>
          <w:sz w:val="24"/>
          <w:szCs w:val="24"/>
          <w:lang w:val="en-US"/>
        </w:rPr>
        <w:t>, after all,</w:t>
      </w:r>
      <w:r w:rsidRPr="00BF7CAD">
        <w:rPr>
          <w:rFonts w:ascii="Times New Roman" w:hAnsi="Times New Roman" w:cs="Times New Roman"/>
          <w:iCs/>
          <w:sz w:val="24"/>
          <w:szCs w:val="24"/>
          <w:lang w:val="en-US"/>
        </w:rPr>
        <w:t xml:space="preserve"> is interchangeable. Accordingly, members of the same group identify more directly with the victim and may experience the crime as if it were directly aimed against them.</w:t>
      </w:r>
    </w:p>
    <w:p w:rsidR="00BF7CAD" w:rsidRDefault="00BF7CAD" w:rsidP="00BD2A7A">
      <w:pPr>
        <w:ind w:firstLine="720"/>
        <w:jc w:val="both"/>
        <w:rPr>
          <w:rFonts w:ascii="Times New Roman" w:hAnsi="Times New Roman" w:cs="Times New Roman"/>
          <w:iCs/>
          <w:sz w:val="24"/>
          <w:szCs w:val="24"/>
          <w:lang w:val="en-US"/>
        </w:rPr>
      </w:pPr>
      <w:r w:rsidRPr="00BF7CAD">
        <w:rPr>
          <w:rFonts w:ascii="Times New Roman" w:hAnsi="Times New Roman" w:cs="Times New Roman"/>
          <w:iCs/>
          <w:sz w:val="24"/>
          <w:szCs w:val="24"/>
          <w:lang w:val="en-US"/>
        </w:rPr>
        <w:t xml:space="preserve">This is especially the case in societies where there is an ongoing history and acceptance of discrimination, and where hate crimes are not given appropriate attention. As a result, aside from ramifications at the personal level, the absence of the necessary provisions for punishing hate crimes also creates disillusionment to the </w:t>
      </w:r>
      <w:r w:rsidRPr="00BF7CAD">
        <w:rPr>
          <w:rFonts w:ascii="Times New Roman" w:hAnsi="Times New Roman" w:cs="Times New Roman"/>
          <w:iCs/>
          <w:sz w:val="24"/>
          <w:szCs w:val="24"/>
          <w:lang w:val="en-US"/>
        </w:rPr>
        <w:lastRenderedPageBreak/>
        <w:t>members of the group, as to the state’s and the judiciary’s capacity to protect them and serve justice. As a consequence, there is also a significant symbolic power stemming from the adoption and enforcement of strong hate crime laws, as victimized individuals and communities regain their trust in the state’s capacity to protect them.</w:t>
      </w:r>
      <w:r w:rsidRPr="00BF7CAD">
        <w:rPr>
          <w:rFonts w:ascii="Times New Roman" w:hAnsi="Times New Roman" w:cs="Times New Roman"/>
          <w:iCs/>
          <w:sz w:val="24"/>
          <w:szCs w:val="24"/>
          <w:vertAlign w:val="superscript"/>
          <w:lang w:val="en-US"/>
        </w:rPr>
        <w:footnoteReference w:id="25"/>
      </w:r>
    </w:p>
    <w:p w:rsidR="00BF7CAD" w:rsidRPr="00BF7CAD" w:rsidRDefault="00BF7CAD" w:rsidP="00BD2A7A">
      <w:pPr>
        <w:ind w:firstLine="720"/>
        <w:jc w:val="both"/>
        <w:rPr>
          <w:rFonts w:ascii="Times New Roman" w:hAnsi="Times New Roman" w:cs="Times New Roman"/>
          <w:iCs/>
          <w:sz w:val="24"/>
          <w:szCs w:val="24"/>
          <w:lang w:val="en-US"/>
        </w:rPr>
      </w:pPr>
    </w:p>
    <w:tbl>
      <w:tblPr>
        <w:tblStyle w:val="MediumGrid1-Accent52"/>
        <w:tblW w:w="0" w:type="auto"/>
        <w:tblLook w:val="04A0"/>
      </w:tblPr>
      <w:tblGrid>
        <w:gridCol w:w="8440"/>
      </w:tblGrid>
      <w:tr w:rsidR="00BF7CAD" w:rsidRPr="00595388" w:rsidTr="00D231D8">
        <w:trPr>
          <w:cnfStyle w:val="100000000000"/>
        </w:trPr>
        <w:tc>
          <w:tcPr>
            <w:cnfStyle w:val="001000000000"/>
            <w:tcW w:w="8440" w:type="dxa"/>
          </w:tcPr>
          <w:p w:rsidR="00BF7CAD" w:rsidRPr="00BF7CAD" w:rsidRDefault="00BF7CAD" w:rsidP="00BF7CAD">
            <w:pPr>
              <w:contextualSpacing/>
              <w:jc w:val="both"/>
              <w:rPr>
                <w:rFonts w:ascii="Verdana" w:hAnsi="Verdana"/>
                <w:sz w:val="18"/>
                <w:szCs w:val="18"/>
                <w:lang w:val="en-GB"/>
              </w:rPr>
            </w:pPr>
          </w:p>
          <w:p w:rsidR="00BF7CAD" w:rsidRPr="00BF7CAD" w:rsidRDefault="00BF7CAD" w:rsidP="00BF7CAD">
            <w:pPr>
              <w:jc w:val="both"/>
              <w:rPr>
                <w:rFonts w:ascii="Verdana" w:eastAsia="MS Mincho" w:hAnsi="Verdana" w:cs="Times New Roman"/>
                <w:color w:val="943634"/>
                <w:sz w:val="19"/>
                <w:szCs w:val="19"/>
              </w:rPr>
            </w:pPr>
            <w:r w:rsidRPr="00BF7CAD">
              <w:rPr>
                <w:rFonts w:ascii="Verdana" w:eastAsia="MS Mincho" w:hAnsi="Verdana" w:cs="Times New Roman"/>
                <w:color w:val="943634"/>
                <w:sz w:val="19"/>
                <w:szCs w:val="19"/>
              </w:rPr>
              <w:t xml:space="preserve">European Court of Human Rights, </w:t>
            </w:r>
            <w:r w:rsidRPr="00BF7CAD">
              <w:rPr>
                <w:rFonts w:ascii="Verdana" w:eastAsia="MS Mincho" w:hAnsi="Verdana" w:cs="Times New Roman"/>
                <w:iCs/>
                <w:color w:val="943634"/>
                <w:sz w:val="19"/>
                <w:szCs w:val="19"/>
              </w:rPr>
              <w:t>Király and Dömötör v. Hungary</w:t>
            </w:r>
            <w:r w:rsidRPr="00BF7CAD">
              <w:rPr>
                <w:rFonts w:ascii="Verdana" w:eastAsia="MS Mincho" w:hAnsi="Verdana" w:cs="Times New Roman"/>
                <w:color w:val="943634"/>
                <w:sz w:val="19"/>
                <w:szCs w:val="19"/>
              </w:rPr>
              <w:t xml:space="preserve">, Application no. </w:t>
            </w:r>
            <w:r w:rsidRPr="00BF7CAD">
              <w:rPr>
                <w:rFonts w:ascii="Verdana" w:eastAsia="MS Mincho" w:hAnsi="Verdana" w:cs="Times New Roman"/>
                <w:i/>
                <w:iCs/>
                <w:color w:val="943634"/>
                <w:sz w:val="19"/>
                <w:szCs w:val="19"/>
              </w:rPr>
              <w:t>63409/11</w:t>
            </w:r>
            <w:r w:rsidRPr="00BF7CAD">
              <w:rPr>
                <w:rFonts w:ascii="Verdana" w:eastAsia="MS Mincho" w:hAnsi="Verdana" w:cs="Times New Roman"/>
                <w:iCs/>
                <w:color w:val="943634"/>
                <w:sz w:val="19"/>
                <w:szCs w:val="19"/>
              </w:rPr>
              <w:t>, Judgment of 28 March 2017</w:t>
            </w:r>
          </w:p>
          <w:p w:rsidR="00BF7CAD" w:rsidRPr="00BF7CAD" w:rsidRDefault="00BF7CAD" w:rsidP="00BF7CAD">
            <w:pPr>
              <w:contextualSpacing/>
              <w:jc w:val="both"/>
              <w:rPr>
                <w:rFonts w:ascii="Verdana" w:hAnsi="Verdana"/>
                <w:sz w:val="18"/>
                <w:szCs w:val="18"/>
                <w:u w:val="single"/>
              </w:rPr>
            </w:pPr>
          </w:p>
          <w:p w:rsidR="00BF7CAD" w:rsidRPr="00BF7CAD" w:rsidRDefault="00BF7CAD" w:rsidP="00BF7CAD">
            <w:pPr>
              <w:contextualSpacing/>
              <w:jc w:val="both"/>
              <w:rPr>
                <w:rFonts w:ascii="Verdana" w:hAnsi="Verdana"/>
                <w:b w:val="0"/>
                <w:i/>
                <w:iCs/>
                <w:sz w:val="18"/>
                <w:szCs w:val="18"/>
              </w:rPr>
            </w:pPr>
            <w:r w:rsidRPr="00BF7CAD">
              <w:rPr>
                <w:rFonts w:ascii="Verdana" w:hAnsi="Verdana"/>
                <w:b w:val="0"/>
                <w:i/>
                <w:iCs/>
                <w:sz w:val="18"/>
                <w:szCs w:val="18"/>
              </w:rPr>
              <w:t xml:space="preserve">41. The notion of “private life” within the meaning of Article 8 of the Convention is a broad term that is not susceptible to exhaustive definition. It covers the physical and psychological integrity of a person. The notion of personal autonomy is an important principle underlying the interpretation of the guarantees provided for by Article 8. It can therefore embrace multiple aspects of a person’s physical and social identity. The Court has accepted in the past that an individual’s ethnic identity must be regarded as another such element (see S. and Marper v. the United Kingdom [GC], nos. 30562/04 and 30566/04, § 66, ECHR 2008-V, and Ciubotaru v. Moldova, no. 27138/04, § 49, 27 April 2010). In particular, </w:t>
            </w:r>
            <w:r w:rsidRPr="00C94705">
              <w:rPr>
                <w:rFonts w:ascii="Verdana" w:hAnsi="Verdana"/>
                <w:i/>
                <w:iCs/>
                <w:sz w:val="18"/>
                <w:szCs w:val="18"/>
              </w:rPr>
              <w:t>any negative stereotyping of a group, when it reaches a certain level, is capable of impacting on the group’s sense of identity and the feelings of self-worth and self-confidence of members of the group</w:t>
            </w:r>
            <w:r w:rsidRPr="00BF7CAD">
              <w:rPr>
                <w:rFonts w:ascii="Verdana" w:hAnsi="Verdana"/>
                <w:b w:val="0"/>
                <w:i/>
                <w:iCs/>
                <w:sz w:val="18"/>
                <w:szCs w:val="18"/>
              </w:rPr>
              <w:t>. It is in this sense that it can be seen as affecting the private life of members of the group (see Perinçek v. Switzerland [GC], no. 27510/08, § 200, ECHR 2015 (extracts). On this basis, the Court found in Aksu that proceedings in which a person of Roma origin who had felt offended by passages in a book and dictionary entries about Roma in Turkey had sought redress had engaged Article 8 (see Aksu v. Turkey [GC], nos. 4149/04 and 41029/04, § 60, ECHR 2012).</w:t>
            </w:r>
          </w:p>
          <w:p w:rsidR="00BF7CAD" w:rsidRPr="00BF7CAD" w:rsidRDefault="00BF7CAD" w:rsidP="00BF7CAD">
            <w:pPr>
              <w:contextualSpacing/>
              <w:jc w:val="both"/>
              <w:rPr>
                <w:rFonts w:ascii="Verdana" w:hAnsi="Verdana"/>
                <w:b w:val="0"/>
                <w:i/>
                <w:iCs/>
                <w:sz w:val="18"/>
                <w:szCs w:val="18"/>
              </w:rPr>
            </w:pPr>
          </w:p>
          <w:p w:rsidR="00BF7CAD" w:rsidRPr="00BF7CAD" w:rsidRDefault="00BF7CAD" w:rsidP="00BF7CAD">
            <w:pPr>
              <w:contextualSpacing/>
              <w:jc w:val="both"/>
              <w:rPr>
                <w:rFonts w:ascii="Verdana" w:hAnsi="Verdana"/>
                <w:i/>
                <w:sz w:val="18"/>
                <w:szCs w:val="18"/>
              </w:rPr>
            </w:pPr>
            <w:r w:rsidRPr="00BF7CAD">
              <w:rPr>
                <w:rFonts w:ascii="Verdana" w:hAnsi="Verdana"/>
                <w:b w:val="0"/>
                <w:i/>
                <w:sz w:val="18"/>
                <w:szCs w:val="18"/>
              </w:rPr>
              <w:t xml:space="preserve">43. Turning to the circumstances of the present case, the Court observes that the threats uttered against the Roma minority, which constitute the basis of the applicants’ complaint under Article 8 of the Convention, did not actually materialise into concrete acts of physical violence against the applicants themselves. Nonetheless, it considers that the fact that certain acts of violence were carried out by at least some of the demonstrators, and that following the speeches the demonstrators marched down Vásárhelyi Street in the Roma neighbourhood (see paragraph 11 above) where the police requested the inhabitants not to leave their houses and the demonstrators shouted that they would come back later, any threats made during the demonstration would have aroused in the applicants a well-founded fear of violence and humiliation. Furthermore, the demonstration of an openly anti-Roma stance took place in a municipality where there had already been tension between Roma and non-Roma inhabitants (see paragraph 6 above). Lastly, the threats were directed against the inhabitants of Devecser on account of their belonging to an ethnic minority, necessarily affecting the feelings of self-worth and self-confidence of members of the group, including the applicants. More generally, as the Court has held before in the context of Article 11, the reliance of an association on paramilitary demonstrations which express racial division and implicitly call for race-based action must have an intimidating effect on members of an ethnic minority, especially when they are in their homes and as such constitute a captive audience (see </w:t>
            </w:r>
            <w:r w:rsidRPr="00BF7CAD">
              <w:rPr>
                <w:rFonts w:ascii="Verdana" w:hAnsi="Verdana"/>
                <w:b w:val="0"/>
                <w:i/>
                <w:iCs/>
                <w:sz w:val="18"/>
                <w:szCs w:val="18"/>
              </w:rPr>
              <w:t>Vona v. Hungary</w:t>
            </w:r>
            <w:r w:rsidRPr="00BF7CAD">
              <w:rPr>
                <w:rFonts w:ascii="Verdana" w:hAnsi="Verdana"/>
                <w:b w:val="0"/>
                <w:i/>
                <w:sz w:val="18"/>
                <w:szCs w:val="18"/>
              </w:rPr>
              <w:t xml:space="preserve">, no. 35943/10, § 66, ECHR 2013). </w:t>
            </w:r>
            <w:r w:rsidRPr="001406E9">
              <w:rPr>
                <w:rFonts w:ascii="Verdana" w:hAnsi="Verdana"/>
                <w:i/>
                <w:sz w:val="18"/>
                <w:szCs w:val="18"/>
              </w:rPr>
              <w:t>These elements, in the Court’s estimation, would be enough to affect the applicants’ psychological integrity and ethnic identity, within the meaning of Article 8 of the Convention</w:t>
            </w:r>
            <w:r w:rsidRPr="00BF7CAD">
              <w:rPr>
                <w:rFonts w:ascii="Verdana" w:hAnsi="Verdana"/>
                <w:b w:val="0"/>
                <w:i/>
                <w:sz w:val="18"/>
                <w:szCs w:val="18"/>
              </w:rPr>
              <w:t>.</w:t>
            </w:r>
          </w:p>
        </w:tc>
      </w:tr>
    </w:tbl>
    <w:p w:rsidR="00BF7CAD" w:rsidRDefault="00BF7CAD" w:rsidP="00BF7CAD">
      <w:pPr>
        <w:jc w:val="both"/>
        <w:rPr>
          <w:rFonts w:ascii="Times New Roman" w:hAnsi="Times New Roman" w:cs="Times New Roman"/>
          <w:iCs/>
          <w:szCs w:val="24"/>
          <w:lang w:val="en-US"/>
        </w:rPr>
      </w:pPr>
    </w:p>
    <w:p w:rsidR="001406E9" w:rsidRDefault="001406E9" w:rsidP="00BF7CAD">
      <w:pPr>
        <w:jc w:val="both"/>
        <w:rPr>
          <w:rFonts w:ascii="Times New Roman" w:hAnsi="Times New Roman" w:cs="Times New Roman"/>
          <w:iCs/>
          <w:szCs w:val="24"/>
          <w:lang w:val="en-US"/>
        </w:rPr>
      </w:pPr>
    </w:p>
    <w:p w:rsidR="001406E9" w:rsidRPr="00BF7CAD" w:rsidRDefault="001406E9" w:rsidP="00BF7CAD">
      <w:pPr>
        <w:jc w:val="both"/>
        <w:rPr>
          <w:rFonts w:ascii="Times New Roman" w:hAnsi="Times New Roman" w:cs="Times New Roman"/>
          <w:iCs/>
          <w:szCs w:val="24"/>
          <w:lang w:val="en-US"/>
        </w:rPr>
      </w:pPr>
    </w:p>
    <w:p w:rsidR="00BF7CAD" w:rsidRPr="00BF7CAD" w:rsidRDefault="001406E9" w:rsidP="001406E9">
      <w:pPr>
        <w:pStyle w:val="Cmsor2"/>
        <w:rPr>
          <w:lang w:val="en-US" w:eastAsia="en-US"/>
        </w:rPr>
      </w:pPr>
      <w:bookmarkStart w:id="6" w:name="_Toc490844996"/>
      <w:r>
        <w:rPr>
          <w:lang w:val="en-US" w:eastAsia="en-US"/>
        </w:rPr>
        <w:lastRenderedPageBreak/>
        <w:t>2</w:t>
      </w:r>
      <w:r w:rsidR="00BF7CAD" w:rsidRPr="00BF7CAD">
        <w:rPr>
          <w:lang w:val="en-US" w:eastAsia="en-US"/>
        </w:rPr>
        <w:t>.2 Implications for society</w:t>
      </w:r>
      <w:bookmarkEnd w:id="6"/>
    </w:p>
    <w:p w:rsidR="001B0532" w:rsidRDefault="001B0532" w:rsidP="00BF7CAD">
      <w:pPr>
        <w:jc w:val="both"/>
        <w:rPr>
          <w:rFonts w:ascii="Times New Roman" w:hAnsi="Times New Roman" w:cs="Times New Roman"/>
          <w:i/>
          <w:iCs/>
          <w:color w:val="808080" w:themeColor="text1" w:themeTint="7F"/>
          <w:szCs w:val="24"/>
          <w:lang w:val="en-US"/>
        </w:rPr>
      </w:pPr>
    </w:p>
    <w:p w:rsidR="00BF7CAD" w:rsidRPr="001B0532" w:rsidRDefault="00BF7CAD" w:rsidP="00BD2A7A">
      <w:pPr>
        <w:ind w:firstLine="720"/>
        <w:jc w:val="both"/>
        <w:rPr>
          <w:rFonts w:ascii="Times New Roman" w:hAnsi="Times New Roman" w:cs="Times New Roman"/>
          <w:iCs/>
          <w:sz w:val="24"/>
          <w:szCs w:val="24"/>
          <w:lang w:val="en-US"/>
        </w:rPr>
      </w:pPr>
      <w:r w:rsidRPr="001B0532">
        <w:rPr>
          <w:rFonts w:ascii="Times New Roman" w:hAnsi="Times New Roman" w:cs="Times New Roman"/>
          <w:iCs/>
          <w:sz w:val="24"/>
          <w:szCs w:val="24"/>
          <w:lang w:val="en-US"/>
        </w:rPr>
        <w:t>As mentioned, the state’s capacity to address hate crimes reinforces the victimized community’s trust in the system of justice. As is easily understood, of course, the invers is similarly the case. In itself, the lack of appropriate measures to address hate crimes creates disillusionment about the state’s capacity to protect specific societal groups and this, in turn, can lead to a number of catastrophic consequences for society as whole on mainly two levels.</w:t>
      </w:r>
    </w:p>
    <w:p w:rsidR="00BF7CAD" w:rsidRPr="001B0532" w:rsidRDefault="00BF7CAD" w:rsidP="00BD2A7A">
      <w:pPr>
        <w:ind w:firstLine="360"/>
        <w:jc w:val="both"/>
        <w:rPr>
          <w:rFonts w:ascii="Times New Roman" w:hAnsi="Times New Roman" w:cs="Times New Roman"/>
          <w:iCs/>
          <w:sz w:val="24"/>
          <w:szCs w:val="24"/>
          <w:lang w:val="en-US"/>
        </w:rPr>
      </w:pPr>
      <w:r w:rsidRPr="001B0532">
        <w:rPr>
          <w:rFonts w:ascii="Times New Roman" w:hAnsi="Times New Roman" w:cs="Times New Roman"/>
          <w:iCs/>
          <w:sz w:val="24"/>
          <w:szCs w:val="24"/>
          <w:lang w:val="en-US"/>
        </w:rPr>
        <w:t>Firstly, this lack creates a society of non-equals, whereby the rights of some to freedom of thought, conscience and religion, or the right to freedom of expression,</w:t>
      </w:r>
      <w:r w:rsidRPr="001B0532">
        <w:rPr>
          <w:rFonts w:ascii="Times New Roman" w:hAnsi="Times New Roman" w:cs="Times New Roman"/>
          <w:iCs/>
          <w:sz w:val="24"/>
          <w:szCs w:val="24"/>
          <w:vertAlign w:val="superscript"/>
          <w:lang w:val="en-US"/>
        </w:rPr>
        <w:footnoteReference w:id="26"/>
      </w:r>
      <w:r w:rsidRPr="001B0532">
        <w:rPr>
          <w:rFonts w:ascii="Times New Roman" w:hAnsi="Times New Roman" w:cs="Times New Roman"/>
          <w:iCs/>
          <w:sz w:val="24"/>
          <w:szCs w:val="24"/>
          <w:lang w:val="en-US"/>
        </w:rPr>
        <w:t xml:space="preserve"> for instance, are violated. This is in direct contradiction to established European and International Law.</w:t>
      </w:r>
    </w:p>
    <w:p w:rsidR="00BF7CAD" w:rsidRPr="00BF7CAD" w:rsidRDefault="00BF7CAD" w:rsidP="00BF7CAD">
      <w:pPr>
        <w:numPr>
          <w:ilvl w:val="0"/>
          <w:numId w:val="2"/>
        </w:numPr>
        <w:contextualSpacing/>
        <w:jc w:val="both"/>
        <w:rPr>
          <w:rFonts w:ascii="Times New Roman" w:hAnsi="Times New Roman" w:cs="Times New Roman"/>
          <w:color w:val="000000"/>
          <w:sz w:val="20"/>
          <w:szCs w:val="16"/>
          <w:lang w:val="en-US"/>
        </w:rPr>
      </w:pPr>
      <w:r w:rsidRPr="00C94705">
        <w:rPr>
          <w:rFonts w:ascii="Times New Roman" w:hAnsi="Times New Roman" w:cs="Times New Roman"/>
          <w:color w:val="000000"/>
          <w:szCs w:val="16"/>
          <w:lang w:val="en-US"/>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1B0532">
        <w:rPr>
          <w:rFonts w:ascii="Times New Roman" w:hAnsi="Times New Roman" w:cs="Times New Roman"/>
          <w:color w:val="000000"/>
          <w:sz w:val="20"/>
          <w:szCs w:val="16"/>
          <w:vertAlign w:val="superscript"/>
          <w:lang w:val="en-US"/>
        </w:rPr>
        <w:footnoteReference w:id="27"/>
      </w:r>
    </w:p>
    <w:p w:rsidR="00BF7CAD" w:rsidRDefault="00BF7CAD" w:rsidP="00BF7CAD">
      <w:pPr>
        <w:numPr>
          <w:ilvl w:val="0"/>
          <w:numId w:val="2"/>
        </w:numPr>
        <w:contextualSpacing/>
        <w:jc w:val="both"/>
        <w:rPr>
          <w:rFonts w:ascii="Times New Roman" w:hAnsi="Times New Roman" w:cs="Times New Roman"/>
          <w:iCs/>
          <w:szCs w:val="24"/>
          <w:lang w:val="en-US"/>
        </w:rPr>
      </w:pPr>
      <w:r w:rsidRPr="00BF7CAD">
        <w:rPr>
          <w:rFonts w:ascii="Times New Roman" w:hAnsi="Times New Roman" w:cs="Times New Roman"/>
          <w:iCs/>
          <w:szCs w:val="24"/>
          <w:lang w:val="en-US"/>
        </w:rPr>
        <w:t>Everyone is entitled to all the rights and freedoms set forth in this Declaration, without distinction of any kind, such as race, colour,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r w:rsidRPr="001B0532">
        <w:rPr>
          <w:rFonts w:ascii="Times New Roman" w:hAnsi="Times New Roman" w:cs="Times New Roman"/>
          <w:iCs/>
          <w:szCs w:val="24"/>
          <w:vertAlign w:val="superscript"/>
          <w:lang w:val="en-US"/>
        </w:rPr>
        <w:footnoteReference w:id="28"/>
      </w:r>
    </w:p>
    <w:p w:rsidR="001B0532" w:rsidRPr="00BF7CAD" w:rsidRDefault="001B0532" w:rsidP="001B0532">
      <w:pPr>
        <w:contextualSpacing/>
        <w:jc w:val="both"/>
        <w:rPr>
          <w:rFonts w:ascii="Times New Roman" w:hAnsi="Times New Roman" w:cs="Times New Roman"/>
          <w:iCs/>
          <w:szCs w:val="24"/>
          <w:lang w:val="en-US"/>
        </w:rPr>
      </w:pPr>
    </w:p>
    <w:p w:rsidR="00BF7CAD" w:rsidRDefault="00BF7CAD" w:rsidP="001406E9">
      <w:pPr>
        <w:ind w:firstLine="360"/>
        <w:jc w:val="both"/>
        <w:rPr>
          <w:rFonts w:ascii="Times New Roman" w:hAnsi="Times New Roman" w:cs="Times New Roman"/>
          <w:iCs/>
          <w:sz w:val="24"/>
          <w:szCs w:val="24"/>
          <w:lang w:val="en-US"/>
        </w:rPr>
      </w:pPr>
      <w:r w:rsidRPr="001B0532">
        <w:rPr>
          <w:rFonts w:ascii="Times New Roman" w:hAnsi="Times New Roman" w:cs="Times New Roman"/>
          <w:iCs/>
          <w:sz w:val="24"/>
          <w:szCs w:val="24"/>
          <w:lang w:val="en-US"/>
        </w:rPr>
        <w:t>Hence why failure to address hate crimes is of such immense symbolic value.</w:t>
      </w:r>
      <w:r w:rsidRPr="001B0532">
        <w:rPr>
          <w:rFonts w:ascii="Times New Roman" w:hAnsi="Times New Roman" w:cs="Times New Roman"/>
          <w:iCs/>
          <w:sz w:val="24"/>
          <w:szCs w:val="24"/>
          <w:vertAlign w:val="superscript"/>
          <w:lang w:val="en-US"/>
        </w:rPr>
        <w:footnoteReference w:id="29"/>
      </w:r>
      <w:r w:rsidRPr="001B0532">
        <w:rPr>
          <w:rFonts w:ascii="Times New Roman" w:hAnsi="Times New Roman" w:cs="Times New Roman"/>
          <w:iCs/>
          <w:sz w:val="24"/>
          <w:szCs w:val="24"/>
          <w:lang w:val="en-US"/>
        </w:rPr>
        <w:t xml:space="preserve"> In practice, it has the potential to perpetuate the view that established Laws are not applicable for all, and are thus characterized by an intrinsic kind of discrimination. Put otherwise, failure to adequately address hate crimes is a symbol that Laws, do not matter when it comes to some segments of a state’s population.  Secondly, absence of effective hates crime penalization may also have repercussions on socie</w:t>
      </w:r>
      <w:r w:rsidR="00C94705">
        <w:rPr>
          <w:rFonts w:ascii="Times New Roman" w:hAnsi="Times New Roman" w:cs="Times New Roman"/>
          <w:iCs/>
          <w:sz w:val="24"/>
          <w:szCs w:val="24"/>
          <w:lang w:val="en-US"/>
        </w:rPr>
        <w:t xml:space="preserve">tal cohesion and public order. </w:t>
      </w:r>
      <w:r w:rsidRPr="001B0532">
        <w:rPr>
          <w:rFonts w:ascii="Times New Roman" w:hAnsi="Times New Roman" w:cs="Times New Roman"/>
          <w:iCs/>
          <w:sz w:val="24"/>
          <w:szCs w:val="24"/>
          <w:lang w:val="en-US"/>
        </w:rPr>
        <w:t>Most commonly, a history of unpunished hate crimes can contribute to exacerbating relations between societal groups and even lead to interethnic or other tensions. It is not by chance that hate crimes are most prominently observed during the escalating phases of internal conflict. Similarly, though, it is not random that unpunished hate crimes can provide the stepping stone for the ignition of conflicts, such as internal or international wars.</w:t>
      </w:r>
      <w:r w:rsidRPr="001B0532">
        <w:rPr>
          <w:rFonts w:ascii="Times New Roman" w:hAnsi="Times New Roman" w:cs="Times New Roman"/>
          <w:iCs/>
          <w:sz w:val="24"/>
          <w:szCs w:val="24"/>
          <w:vertAlign w:val="superscript"/>
          <w:lang w:val="en-US"/>
        </w:rPr>
        <w:footnoteReference w:id="30"/>
      </w:r>
      <w:r w:rsidRPr="001B0532">
        <w:rPr>
          <w:rFonts w:ascii="Times New Roman" w:hAnsi="Times New Roman" w:cs="Times New Roman"/>
          <w:iCs/>
          <w:sz w:val="24"/>
          <w:szCs w:val="24"/>
          <w:lang w:val="en-US"/>
        </w:rPr>
        <w:t xml:space="preserve"> For this reason, tackling hate crimes also </w:t>
      </w:r>
      <w:r w:rsidRPr="001B0532">
        <w:rPr>
          <w:rFonts w:ascii="Times New Roman" w:hAnsi="Times New Roman" w:cs="Times New Roman"/>
          <w:iCs/>
          <w:sz w:val="24"/>
          <w:szCs w:val="24"/>
          <w:lang w:val="en-US"/>
        </w:rPr>
        <w:lastRenderedPageBreak/>
        <w:t>forms an integral part of the core mandate undertaken by the Organization for Security and Co-operation in Europe (OSCE).</w:t>
      </w:r>
      <w:r w:rsidRPr="001B0532">
        <w:rPr>
          <w:rFonts w:ascii="Times New Roman" w:hAnsi="Times New Roman" w:cs="Times New Roman"/>
          <w:iCs/>
          <w:sz w:val="24"/>
          <w:szCs w:val="24"/>
          <w:vertAlign w:val="superscript"/>
          <w:lang w:val="en-US"/>
        </w:rPr>
        <w:footnoteReference w:id="31"/>
      </w:r>
    </w:p>
    <w:p w:rsidR="001406E9" w:rsidRPr="001406E9" w:rsidRDefault="001406E9" w:rsidP="001406E9">
      <w:pPr>
        <w:ind w:firstLine="360"/>
        <w:jc w:val="both"/>
        <w:rPr>
          <w:rFonts w:ascii="Times New Roman" w:hAnsi="Times New Roman" w:cs="Times New Roman"/>
          <w:iCs/>
          <w:szCs w:val="24"/>
          <w:lang w:val="en-US"/>
        </w:rPr>
      </w:pPr>
    </w:p>
    <w:tbl>
      <w:tblPr>
        <w:tblStyle w:val="MediumGrid1-Accent52"/>
        <w:tblW w:w="0" w:type="auto"/>
        <w:tblLook w:val="04A0"/>
      </w:tblPr>
      <w:tblGrid>
        <w:gridCol w:w="8440"/>
      </w:tblGrid>
      <w:tr w:rsidR="00BF7CAD" w:rsidRPr="00595388" w:rsidTr="00D231D8">
        <w:trPr>
          <w:cnfStyle w:val="100000000000"/>
        </w:trPr>
        <w:tc>
          <w:tcPr>
            <w:cnfStyle w:val="001000000000"/>
            <w:tcW w:w="8440" w:type="dxa"/>
          </w:tcPr>
          <w:p w:rsidR="00BF7CAD" w:rsidRPr="00BF7CAD" w:rsidRDefault="00BF7CAD" w:rsidP="00BF7CAD">
            <w:pPr>
              <w:contextualSpacing/>
              <w:jc w:val="both"/>
              <w:rPr>
                <w:rFonts w:ascii="Verdana" w:hAnsi="Verdana"/>
                <w:sz w:val="18"/>
                <w:szCs w:val="18"/>
                <w:lang w:val="en-GB"/>
              </w:rPr>
            </w:pPr>
          </w:p>
          <w:p w:rsidR="00BF7CAD" w:rsidRPr="00BF7CAD" w:rsidRDefault="00BF7CAD" w:rsidP="00BF7CAD">
            <w:pPr>
              <w:contextualSpacing/>
              <w:jc w:val="both"/>
              <w:rPr>
                <w:rFonts w:ascii="Verdana" w:eastAsia="MS Mincho" w:hAnsi="Verdana" w:cs="Times New Roman"/>
                <w:iCs/>
                <w:color w:val="943634"/>
                <w:sz w:val="19"/>
                <w:szCs w:val="19"/>
              </w:rPr>
            </w:pPr>
            <w:r w:rsidRPr="00BF7CAD">
              <w:rPr>
                <w:rFonts w:ascii="Verdana" w:eastAsia="MS Mincho" w:hAnsi="Verdana" w:cs="Times New Roman"/>
                <w:color w:val="943634"/>
                <w:sz w:val="19"/>
                <w:szCs w:val="19"/>
              </w:rPr>
              <w:t xml:space="preserve">European Court of Human Rights, </w:t>
            </w:r>
            <w:r w:rsidRPr="00BF7CAD">
              <w:rPr>
                <w:rFonts w:ascii="Verdana" w:eastAsia="MS Mincho" w:hAnsi="Verdana" w:cs="Times New Roman"/>
                <w:i/>
                <w:iCs/>
                <w:color w:val="943634"/>
                <w:sz w:val="19"/>
                <w:szCs w:val="19"/>
              </w:rPr>
              <w:t>Identoba and Others v. Georgia</w:t>
            </w:r>
            <w:r w:rsidRPr="00BF7CAD">
              <w:rPr>
                <w:rFonts w:ascii="Verdana" w:eastAsia="MS Mincho" w:hAnsi="Verdana" w:cs="Times New Roman"/>
                <w:color w:val="943634"/>
                <w:sz w:val="19"/>
                <w:szCs w:val="19"/>
              </w:rPr>
              <w:t xml:space="preserve">, </w:t>
            </w:r>
            <w:r w:rsidRPr="00BF7CAD">
              <w:rPr>
                <w:rFonts w:ascii="Verdana" w:eastAsia="MS Mincho" w:hAnsi="Verdana" w:cs="Times New Roman"/>
                <w:i/>
                <w:iCs/>
                <w:color w:val="943634"/>
                <w:sz w:val="19"/>
                <w:szCs w:val="19"/>
              </w:rPr>
              <w:t>Application no. 73235/12</w:t>
            </w:r>
            <w:r w:rsidRPr="00BF7CAD">
              <w:rPr>
                <w:rFonts w:ascii="Verdana" w:eastAsia="MS Mincho" w:hAnsi="Verdana" w:cs="Times New Roman"/>
                <w:iCs/>
                <w:color w:val="943634"/>
                <w:sz w:val="19"/>
                <w:szCs w:val="19"/>
              </w:rPr>
              <w:t xml:space="preserve">, Judgment of 12 May 2015 </w:t>
            </w:r>
            <w:hyperlink r:id="rId13" w:history="1">
              <w:r w:rsidRPr="00BF7CAD">
                <w:rPr>
                  <w:rFonts w:ascii="Verdana" w:eastAsia="MS Mincho" w:hAnsi="Verdana" w:cs="Times New Roman"/>
                  <w:iCs/>
                  <w:color w:val="0000FF" w:themeColor="hyperlink"/>
                  <w:sz w:val="19"/>
                  <w:szCs w:val="19"/>
                  <w:u w:val="single"/>
                </w:rPr>
                <w:t>link</w:t>
              </w:r>
            </w:hyperlink>
          </w:p>
          <w:p w:rsidR="00BF7CAD" w:rsidRPr="00BF7CAD" w:rsidRDefault="00BF7CAD" w:rsidP="00BF7CAD">
            <w:pPr>
              <w:contextualSpacing/>
              <w:jc w:val="both"/>
              <w:rPr>
                <w:rFonts w:ascii="Verdana" w:eastAsia="MS Mincho" w:hAnsi="Verdana" w:cs="Times New Roman"/>
                <w:iCs/>
                <w:color w:val="943634"/>
                <w:sz w:val="19"/>
                <w:szCs w:val="19"/>
              </w:rPr>
            </w:pPr>
          </w:p>
          <w:p w:rsidR="00BF7CAD" w:rsidRPr="00BF7CAD" w:rsidRDefault="00BF7CAD" w:rsidP="00BF7CAD">
            <w:pPr>
              <w:contextualSpacing/>
              <w:jc w:val="both"/>
              <w:rPr>
                <w:rFonts w:ascii="Verdana" w:eastAsia="MS Mincho" w:hAnsi="Verdana" w:cs="Times New Roman"/>
                <w:b w:val="0"/>
                <w:sz w:val="18"/>
                <w:szCs w:val="18"/>
              </w:rPr>
            </w:pPr>
            <w:r w:rsidRPr="00BF7CAD">
              <w:rPr>
                <w:rFonts w:ascii="Verdana" w:eastAsia="MS Mincho" w:hAnsi="Verdana" w:cs="Times New Roman"/>
                <w:sz w:val="18"/>
                <w:szCs w:val="18"/>
                <w:u w:val="single"/>
              </w:rPr>
              <w:t>Facts</w:t>
            </w:r>
            <w:r w:rsidRPr="00BF7CAD">
              <w:rPr>
                <w:rFonts w:ascii="Verdana" w:eastAsia="MS Mincho" w:hAnsi="Verdana" w:cs="Times New Roman"/>
                <w:sz w:val="18"/>
                <w:szCs w:val="18"/>
              </w:rPr>
              <w:t xml:space="preserve">: </w:t>
            </w:r>
            <w:r w:rsidRPr="00BF7CAD">
              <w:rPr>
                <w:rFonts w:ascii="Verdana" w:eastAsia="MS Mincho" w:hAnsi="Verdana" w:cs="Times New Roman"/>
                <w:b w:val="0"/>
                <w:sz w:val="18"/>
                <w:szCs w:val="18"/>
              </w:rPr>
              <w:t>The applicants, a non-governmental organization advocating for lesbian, gay, bisexual and transgender (LGBT) rights, claimed that the police had failed to protect them, during a peaceful march, from anti-demonstrators of two religious groups who insulted, threatened and assaulted them on the basis of discriminatory intent.</w:t>
            </w:r>
          </w:p>
          <w:p w:rsidR="00BF7CAD" w:rsidRPr="00BF7CAD" w:rsidRDefault="00BF7CAD" w:rsidP="00BF7CAD">
            <w:pPr>
              <w:contextualSpacing/>
              <w:jc w:val="both"/>
              <w:rPr>
                <w:rFonts w:ascii="Verdana" w:eastAsia="MS Mincho" w:hAnsi="Verdana" w:cs="Times New Roman"/>
                <w:b w:val="0"/>
                <w:sz w:val="18"/>
                <w:szCs w:val="18"/>
              </w:rPr>
            </w:pPr>
          </w:p>
          <w:p w:rsidR="00BF7CAD" w:rsidRPr="00BF7CAD" w:rsidRDefault="00BF7CAD" w:rsidP="00BF7CAD">
            <w:pPr>
              <w:contextualSpacing/>
              <w:jc w:val="both"/>
              <w:rPr>
                <w:rFonts w:ascii="Verdana" w:eastAsia="MS Mincho" w:hAnsi="Verdana" w:cs="Times New Roman"/>
                <w:b w:val="0"/>
                <w:sz w:val="18"/>
                <w:szCs w:val="18"/>
              </w:rPr>
            </w:pPr>
            <w:r w:rsidRPr="00BF7CAD">
              <w:rPr>
                <w:rFonts w:ascii="Verdana" w:eastAsia="MS Mincho" w:hAnsi="Verdana" w:cs="Times New Roman"/>
                <w:sz w:val="18"/>
                <w:szCs w:val="18"/>
                <w:u w:val="single"/>
                <w:lang w:val="en-GB"/>
              </w:rPr>
              <w:t>Analysis</w:t>
            </w:r>
            <w:r w:rsidRPr="00BF7CAD">
              <w:rPr>
                <w:rFonts w:ascii="Verdana" w:eastAsia="MS Mincho" w:hAnsi="Verdana" w:cs="Times New Roman"/>
                <w:sz w:val="18"/>
                <w:szCs w:val="18"/>
                <w:lang w:val="en-GB"/>
              </w:rPr>
              <w:t xml:space="preserve">: </w:t>
            </w:r>
            <w:r w:rsidRPr="00BF7CAD">
              <w:rPr>
                <w:rFonts w:ascii="Verdana" w:eastAsia="MS Mincho" w:hAnsi="Verdana" w:cs="Times New Roman"/>
                <w:b w:val="0"/>
                <w:sz w:val="18"/>
                <w:szCs w:val="18"/>
                <w:lang w:val="en-GB"/>
              </w:rPr>
              <w:t xml:space="preserve">The Court found that the perpetrators had been motivated by </w:t>
            </w:r>
            <w:r w:rsidRPr="00BF7CAD">
              <w:rPr>
                <w:rFonts w:ascii="Verdana" w:eastAsia="MS Mincho" w:hAnsi="Verdana" w:cs="Times New Roman"/>
                <w:b w:val="0"/>
                <w:sz w:val="18"/>
                <w:szCs w:val="18"/>
              </w:rPr>
              <w:t xml:space="preserve">a clear homophobic bias, as demonstrated by their use of threatening and insulting language, the material damage of LGBT flags and posters, as well as the direct assault against some of the applicants. Furthermore, the Court found that the authorities had failed in their responsibility to protect the applicants, as shown, amongst others, by their having distanced themselves when the insults started –which provided the conditions for the situation to escalate into physical violence– and by their having arrested, for the purposes of evacuation, the victims (i.e. the applicants) instead of the perpetrators. Lastly, the Court found that the authorities had failed to conduct a proper investigation into the applicants’ allegations of ill-treatment. The Court concluded that in light of the authorities’ inability to protect the applicants, despite their having received prior warnings (by the applicants) of the likelihood of abuse, and more crucially their inability to effectively uncover the biased motivation of the perpetrators, the State’s capacity to preserve the peace during subsequent, peaceful, demonstrations was undermined, as was public confidence towards its anti-discrimination policy.  </w:t>
            </w:r>
          </w:p>
          <w:p w:rsidR="00BF7CAD" w:rsidRPr="00BF7CAD" w:rsidRDefault="00BF7CAD" w:rsidP="00BF7CAD">
            <w:pPr>
              <w:contextualSpacing/>
              <w:jc w:val="both"/>
              <w:rPr>
                <w:rFonts w:ascii="Verdana" w:eastAsia="MS Mincho" w:hAnsi="Verdana" w:cs="Times New Roman"/>
                <w:sz w:val="18"/>
                <w:szCs w:val="18"/>
              </w:rPr>
            </w:pPr>
          </w:p>
          <w:p w:rsidR="00BF7CAD" w:rsidRPr="00BF7CAD" w:rsidRDefault="00BF7CAD" w:rsidP="00BF7CAD">
            <w:pPr>
              <w:ind w:left="720"/>
              <w:contextualSpacing/>
              <w:jc w:val="both"/>
              <w:rPr>
                <w:rFonts w:ascii="Verdana" w:hAnsi="Verdana"/>
                <w:b w:val="0"/>
                <w:i/>
                <w:sz w:val="18"/>
                <w:szCs w:val="18"/>
              </w:rPr>
            </w:pPr>
            <w:r w:rsidRPr="00BF7CAD">
              <w:rPr>
                <w:rFonts w:ascii="Verdana" w:eastAsia="MS Mincho" w:hAnsi="Verdana" w:cs="Times New Roman"/>
                <w:b w:val="0"/>
                <w:i/>
                <w:sz w:val="18"/>
                <w:szCs w:val="18"/>
                <w:u w:val="single"/>
              </w:rPr>
              <w:t>Para.</w:t>
            </w:r>
            <w:r w:rsidRPr="00BF7CAD">
              <w:rPr>
                <w:rFonts w:ascii="Verdana" w:hAnsi="Verdana"/>
                <w:b w:val="0"/>
                <w:i/>
                <w:sz w:val="18"/>
                <w:szCs w:val="18"/>
                <w:u w:val="single"/>
              </w:rPr>
              <w:t>77 </w:t>
            </w:r>
            <w:r w:rsidRPr="00BF7CAD">
              <w:rPr>
                <w:rFonts w:ascii="Verdana" w:hAnsi="Verdana"/>
                <w:b w:val="0"/>
                <w:sz w:val="18"/>
                <w:szCs w:val="18"/>
              </w:rPr>
              <w:t>:</w:t>
            </w:r>
            <w:r w:rsidRPr="00BF7CAD">
              <w:rPr>
                <w:rFonts w:ascii="Verdana" w:hAnsi="Verdana"/>
                <w:b w:val="0"/>
                <w:i/>
                <w:sz w:val="18"/>
                <w:szCs w:val="18"/>
              </w:rPr>
              <w:t xml:space="preserve">(…) The necessity of conducting a meaningful inquiry into the discrimination behind the attack on the march of 17 May 2012 was indispensable given, on the one hand, the hostility against the LGBT community and, on the other, in the light of the clearly homophobic hate speech uttered by the assailants during the incident. </w:t>
            </w:r>
            <w:r w:rsidRPr="001406E9">
              <w:rPr>
                <w:rFonts w:ascii="Verdana" w:hAnsi="Verdana"/>
                <w:i/>
                <w:sz w:val="18"/>
                <w:szCs w:val="18"/>
              </w:rPr>
              <w:t>The Court considers that without such a strict approach from the law-enforcement authorities, prejudice-motivated crimes would unavoidably be treated on an equal footing with ordinary cases without such overtones, and the resultant indifference would be tantamount to official acquiescence to or even connivance with hate crimes</w:t>
            </w:r>
            <w:r w:rsidRPr="00BF7CAD">
              <w:rPr>
                <w:rFonts w:ascii="Verdana" w:hAnsi="Verdana"/>
                <w:b w:val="0"/>
                <w:i/>
                <w:sz w:val="18"/>
                <w:szCs w:val="18"/>
              </w:rPr>
              <w:t xml:space="preserve"> (compare, for instance, with </w:t>
            </w:r>
            <w:r w:rsidRPr="00BF7CAD">
              <w:rPr>
                <w:rFonts w:ascii="Verdana" w:hAnsi="Verdana"/>
                <w:b w:val="0"/>
                <w:i/>
                <w:iCs/>
                <w:sz w:val="18"/>
                <w:szCs w:val="18"/>
              </w:rPr>
              <w:t>Milanović</w:t>
            </w:r>
            <w:r w:rsidRPr="00BF7CAD">
              <w:rPr>
                <w:rFonts w:ascii="Verdana" w:hAnsi="Verdana"/>
                <w:b w:val="0"/>
                <w:i/>
                <w:sz w:val="18"/>
                <w:szCs w:val="18"/>
              </w:rPr>
              <w:t xml:space="preserve">, §§ 96 and 97; </w:t>
            </w:r>
            <w:r w:rsidRPr="00BF7CAD">
              <w:rPr>
                <w:rFonts w:ascii="Verdana" w:hAnsi="Verdana"/>
                <w:b w:val="0"/>
                <w:i/>
                <w:iCs/>
                <w:sz w:val="18"/>
                <w:szCs w:val="18"/>
              </w:rPr>
              <w:t>Abdu</w:t>
            </w:r>
            <w:r w:rsidRPr="00BF7CAD">
              <w:rPr>
                <w:rFonts w:ascii="Verdana" w:hAnsi="Verdana"/>
                <w:b w:val="0"/>
                <w:i/>
                <w:sz w:val="18"/>
                <w:szCs w:val="18"/>
              </w:rPr>
              <w:t xml:space="preserve">, §§ 32-35; and </w:t>
            </w:r>
            <w:r w:rsidRPr="00BF7CAD">
              <w:rPr>
                <w:rFonts w:ascii="Verdana" w:hAnsi="Verdana"/>
                <w:b w:val="0"/>
                <w:i/>
                <w:iCs/>
                <w:sz w:val="18"/>
                <w:szCs w:val="18"/>
              </w:rPr>
              <w:t xml:space="preserve">Begheluri and Others </w:t>
            </w:r>
            <w:r w:rsidRPr="00BF7CAD">
              <w:rPr>
                <w:rFonts w:ascii="Verdana" w:hAnsi="Verdana"/>
                <w:b w:val="0"/>
                <w:i/>
                <w:sz w:val="18"/>
                <w:szCs w:val="18"/>
              </w:rPr>
              <w:t>§ 141, 142 and 175, all cited above).</w:t>
            </w:r>
          </w:p>
          <w:p w:rsidR="00BF7CAD" w:rsidRPr="00BF7CAD" w:rsidRDefault="00BF7CAD" w:rsidP="00BF7CAD">
            <w:pPr>
              <w:ind w:left="720"/>
              <w:contextualSpacing/>
              <w:jc w:val="both"/>
              <w:rPr>
                <w:rFonts w:ascii="Verdana" w:hAnsi="Verdana"/>
                <w:b w:val="0"/>
                <w:i/>
                <w:sz w:val="18"/>
                <w:szCs w:val="18"/>
              </w:rPr>
            </w:pPr>
          </w:p>
          <w:p w:rsidR="00BF7CAD" w:rsidRPr="001406E9" w:rsidRDefault="00BF7CAD" w:rsidP="001406E9">
            <w:pPr>
              <w:ind w:left="720"/>
              <w:contextualSpacing/>
              <w:jc w:val="both"/>
              <w:rPr>
                <w:rFonts w:ascii="Verdana" w:hAnsi="Verdana"/>
                <w:b w:val="0"/>
                <w:i/>
                <w:sz w:val="18"/>
                <w:szCs w:val="18"/>
              </w:rPr>
            </w:pPr>
            <w:r w:rsidRPr="00BF7CAD">
              <w:rPr>
                <w:rFonts w:ascii="Verdana" w:eastAsia="MS Mincho" w:hAnsi="Verdana" w:cs="Times New Roman"/>
                <w:b w:val="0"/>
                <w:i/>
                <w:sz w:val="18"/>
                <w:szCs w:val="18"/>
                <w:u w:val="single"/>
              </w:rPr>
              <w:t>Para. 99</w:t>
            </w:r>
            <w:r w:rsidRPr="00BF7CAD">
              <w:rPr>
                <w:rFonts w:ascii="Verdana" w:eastAsia="MS Mincho" w:hAnsi="Verdana" w:cs="Times New Roman"/>
                <w:b w:val="0"/>
                <w:i/>
                <w:sz w:val="18"/>
                <w:szCs w:val="18"/>
              </w:rPr>
              <w:t>:</w:t>
            </w:r>
            <w:r w:rsidRPr="00BF7CAD">
              <w:rPr>
                <w:rFonts w:ascii="Verdana" w:hAnsi="Verdana"/>
                <w:b w:val="0"/>
                <w:i/>
                <w:sz w:val="18"/>
                <w:szCs w:val="18"/>
              </w:rPr>
              <w:t>(…) the Court reiterates that despite the fact that the domestic authorities were given prior notice on 8 May 2012 about the intention to organise a peaceful march on 17 May 2012, they did not manage to use that generous period of nine days for careful preparatory work. Indeed, given the attitudes in parts of Georgian society towards the sexual minorities, the authorities knew or should have known of the risk of tensions associated with the applicant organisation’s street march to mark the International Day Against Homophobia. They were thus under an obligation to use any means possible, for instance by making public statements in advance of the demonstration to advocate, without any ambiguity, a tolerant, conciliatory stance (compare with OuranioToxo, cited above, § 42) as well as to warn potential law-breakers of the nature of possible sanctions. Furthermore, it was apparent from the outcome of the LGBT procession, that the number of police patrol officers dispatched to the scene of the demonstration was not sufficient, and it would have been only prudent if the domestic authorities, given the likelihood of street clashes, had ensured more police manpower by mobilising, for instance, a squad of anti-riot police (contrast with Plattform “Ärztefür das Leben”, §§ 37 and 38; and also OuranioToxo, cited above, 43).</w:t>
            </w:r>
          </w:p>
        </w:tc>
      </w:tr>
    </w:tbl>
    <w:p w:rsidR="004435C2" w:rsidRPr="00F2396C" w:rsidRDefault="001406E9" w:rsidP="004435C2">
      <w:pPr>
        <w:pStyle w:val="Cmsor1"/>
        <w:rPr>
          <w:rStyle w:val="Finomkiemels"/>
          <w:rFonts w:ascii="Verdana" w:eastAsia="MS Mincho" w:hAnsi="Verdana" w:cs="Times New Roman"/>
          <w:b/>
          <w:bCs/>
          <w:i w:val="0"/>
          <w:iCs w:val="0"/>
          <w:color w:val="4F81BD"/>
          <w:sz w:val="19"/>
          <w:szCs w:val="19"/>
          <w:lang w:val="en-US" w:eastAsia="en-US"/>
        </w:rPr>
      </w:pPr>
      <w:bookmarkStart w:id="7" w:name="_Toc490844997"/>
      <w:r>
        <w:rPr>
          <w:lang w:val="en-US" w:eastAsia="en-US"/>
        </w:rPr>
        <w:lastRenderedPageBreak/>
        <w:t>3</w:t>
      </w:r>
      <w:r w:rsidR="004435C2">
        <w:rPr>
          <w:lang w:val="en-US" w:eastAsia="en-US"/>
        </w:rPr>
        <w:t>.</w:t>
      </w:r>
      <w:r w:rsidR="002C6556">
        <w:rPr>
          <w:lang w:val="en-US" w:eastAsia="en-US"/>
        </w:rPr>
        <w:t>Addressing hate crimes</w:t>
      </w:r>
      <w:bookmarkEnd w:id="7"/>
    </w:p>
    <w:p w:rsidR="001978D6" w:rsidRDefault="001978D6" w:rsidP="004435C2">
      <w:pPr>
        <w:jc w:val="both"/>
        <w:rPr>
          <w:rStyle w:val="Finomkiemels"/>
          <w:lang w:val="en-US"/>
        </w:rPr>
      </w:pPr>
    </w:p>
    <w:p w:rsidR="004435C2" w:rsidRDefault="004435C2" w:rsidP="004435C2">
      <w:pPr>
        <w:jc w:val="both"/>
        <w:rPr>
          <w:rStyle w:val="Finomkiemels"/>
          <w:rFonts w:ascii="Times New Roman" w:hAnsi="Times New Roman" w:cs="Times New Roman"/>
          <w:i w:val="0"/>
          <w:szCs w:val="24"/>
          <w:lang w:val="en-US"/>
        </w:rPr>
      </w:pPr>
      <w:r w:rsidRPr="00B21CE0">
        <w:rPr>
          <w:rStyle w:val="Finomkiemels"/>
          <w:lang w:val="en-US"/>
        </w:rPr>
        <w:t>Hate crimes deny the human dignity and individuality of the victim and attack the principle that each individual is entitled to the equal protection of the law</w:t>
      </w:r>
      <w:r>
        <w:rPr>
          <w:rStyle w:val="Finomkiemels"/>
          <w:rFonts w:ascii="Times New Roman" w:hAnsi="Times New Roman" w:cs="Times New Roman"/>
          <w:szCs w:val="24"/>
          <w:lang w:val="en-US"/>
        </w:rPr>
        <w:t>.</w:t>
      </w:r>
      <w:r>
        <w:rPr>
          <w:rStyle w:val="Lbjegyzet-hivatkozs"/>
          <w:rFonts w:ascii="Times New Roman" w:hAnsi="Times New Roman" w:cs="Times New Roman"/>
          <w:iCs/>
          <w:szCs w:val="24"/>
          <w:lang w:val="en-US"/>
        </w:rPr>
        <w:footnoteReference w:id="32"/>
      </w:r>
    </w:p>
    <w:p w:rsidR="004435C2" w:rsidRPr="00C94705" w:rsidRDefault="004435C2" w:rsidP="00C94705">
      <w:pPr>
        <w:ind w:firstLine="720"/>
        <w:jc w:val="both"/>
        <w:rPr>
          <w:rFonts w:ascii="Times New Roman" w:hAnsi="Times New Roman" w:cs="Times New Roman"/>
          <w:iCs/>
          <w:sz w:val="24"/>
          <w:szCs w:val="24"/>
          <w:lang w:val="en-US"/>
        </w:rPr>
      </w:pPr>
      <w:r w:rsidRPr="00C94705">
        <w:rPr>
          <w:rFonts w:ascii="Times New Roman" w:hAnsi="Times New Roman" w:cs="Times New Roman"/>
          <w:iCs/>
          <w:sz w:val="24"/>
          <w:szCs w:val="24"/>
          <w:lang w:val="en-US"/>
        </w:rPr>
        <w:t>It becomes apparent that the necessity to address hate crimes stems not only from the need to vindicate the victim(s) of the offence, but also from the need to reaffirm that human rights and laws are indeed equal for all, and that justice is blind in its capacity to protect the individuality of each and every citizen. Ultimately, it is about ensuring that democratic values are, in practice, upheld within modern societies, and are thus contributing to the ever establishment of peaceful societal interrelations.</w:t>
      </w:r>
      <w:r w:rsidR="00C94705">
        <w:rPr>
          <w:rFonts w:ascii="Times New Roman" w:hAnsi="Times New Roman" w:cs="Times New Roman"/>
          <w:iCs/>
          <w:sz w:val="24"/>
          <w:szCs w:val="24"/>
          <w:lang w:val="en-US"/>
        </w:rPr>
        <w:t xml:space="preserve"> In this context, </w:t>
      </w:r>
      <w:r w:rsidR="00C94705" w:rsidRPr="00C94705">
        <w:rPr>
          <w:rFonts w:ascii="Times New Roman" w:hAnsi="Times New Roman" w:cs="Times New Roman"/>
          <w:iCs/>
          <w:sz w:val="24"/>
          <w:szCs w:val="24"/>
          <w:lang w:val="en-US"/>
        </w:rPr>
        <w:t xml:space="preserve">hate crime </w:t>
      </w:r>
      <w:r w:rsidR="00C94705">
        <w:rPr>
          <w:rFonts w:ascii="Times New Roman" w:hAnsi="Times New Roman" w:cs="Times New Roman"/>
          <w:iCs/>
          <w:sz w:val="24"/>
          <w:szCs w:val="24"/>
          <w:lang w:val="en-US"/>
        </w:rPr>
        <w:t>laws</w:t>
      </w:r>
      <w:r w:rsidR="00C94705" w:rsidRPr="00C94705">
        <w:rPr>
          <w:rFonts w:ascii="Times New Roman" w:hAnsi="Times New Roman" w:cs="Times New Roman"/>
          <w:iCs/>
          <w:sz w:val="24"/>
          <w:szCs w:val="24"/>
          <w:lang w:val="en-US"/>
        </w:rPr>
        <w:t xml:space="preserve"> serve two functions: a symbolic one, aimed at clearly passing the message that bias-motivated violence are not tolerated, and a protective one, aimed at safeguarding the rights of vulnerable individuals and groups.</w:t>
      </w:r>
      <w:r w:rsidR="00C94705" w:rsidRPr="00C94705">
        <w:rPr>
          <w:rFonts w:ascii="Times New Roman" w:hAnsi="Times New Roman" w:cs="Times New Roman"/>
          <w:iCs/>
          <w:sz w:val="24"/>
          <w:szCs w:val="24"/>
          <w:vertAlign w:val="superscript"/>
          <w:lang w:val="en-US"/>
        </w:rPr>
        <w:footnoteReference w:id="33"/>
      </w:r>
    </w:p>
    <w:p w:rsidR="004435C2" w:rsidRPr="00C94705" w:rsidRDefault="004435C2" w:rsidP="00F20EBD">
      <w:pPr>
        <w:pStyle w:val="Idzet"/>
        <w:jc w:val="both"/>
        <w:rPr>
          <w:rStyle w:val="Finomkiemels"/>
          <w:rFonts w:ascii="Times New Roman" w:hAnsi="Times New Roman" w:cs="Times New Roman"/>
          <w:i/>
          <w:color w:val="auto"/>
          <w:szCs w:val="24"/>
          <w:lang w:val="en-US"/>
        </w:rPr>
      </w:pPr>
      <w:r w:rsidRPr="00C94705">
        <w:rPr>
          <w:rStyle w:val="IdzetChar"/>
          <w:lang w:val="en-GB"/>
        </w:rPr>
        <w:t xml:space="preserve">It is for this reason that the authorities must use all available means to combat racism, thereby reinforcing democracy’s vision of a society in which diversity is not perceived as a threat but as a source of enrichment (Nachova and Others v. Bulgaria; Timishev v. Russia). </w:t>
      </w:r>
      <w:r w:rsidRPr="00217967">
        <w:rPr>
          <w:rStyle w:val="IdzetChar"/>
          <w:lang w:val="en-GB"/>
        </w:rPr>
        <w:t>The Court has also held that no difference in treatment which is based exclusively or to a decisive extent on a person’s ethnic origin is capable of being objectively justified in a contemporary democratic society built on the principles of pluralism and respect for different cultures (Timishev, § 58; D.H. and Others v. the Czech Republic, § 176).</w:t>
      </w:r>
      <w:r w:rsidR="00585D2D">
        <w:rPr>
          <w:rStyle w:val="Lbjegyzet-hivatkozs"/>
          <w:rFonts w:ascii="Times New Roman" w:hAnsi="Times New Roman" w:cs="Times New Roman"/>
          <w:iCs w:val="0"/>
          <w:szCs w:val="24"/>
          <w:lang w:val="en-US"/>
        </w:rPr>
        <w:footnoteReference w:id="34"/>
      </w:r>
    </w:p>
    <w:p w:rsidR="004435C2" w:rsidRPr="00C94705" w:rsidRDefault="004435C2" w:rsidP="00C94705">
      <w:pPr>
        <w:ind w:firstLine="720"/>
        <w:jc w:val="both"/>
        <w:rPr>
          <w:rStyle w:val="Finomkiemels"/>
          <w:rFonts w:ascii="Times New Roman" w:hAnsi="Times New Roman" w:cs="Times New Roman"/>
          <w:i w:val="0"/>
          <w:color w:val="auto"/>
          <w:sz w:val="24"/>
          <w:szCs w:val="24"/>
          <w:lang w:val="en-US"/>
        </w:rPr>
      </w:pPr>
      <w:r w:rsidRPr="00C94705">
        <w:rPr>
          <w:rStyle w:val="Finomkiemels"/>
          <w:rFonts w:ascii="Times New Roman" w:hAnsi="Times New Roman" w:cs="Times New Roman"/>
          <w:i w:val="0"/>
          <w:color w:val="auto"/>
          <w:sz w:val="24"/>
          <w:szCs w:val="24"/>
          <w:lang w:val="en-US"/>
        </w:rPr>
        <w:t xml:space="preserve">Towards this aim, there is an acknowledged need for state actors, such as the police and the judiciary, to be ever vigilant and be able to act swiftly not only in order to address, but also in order to </w:t>
      </w:r>
      <w:r w:rsidRPr="00C94705">
        <w:rPr>
          <w:rStyle w:val="Finomkiemels"/>
          <w:rFonts w:ascii="Times New Roman" w:hAnsi="Times New Roman" w:cs="Times New Roman"/>
          <w:i w:val="0"/>
          <w:color w:val="auto"/>
          <w:sz w:val="24"/>
          <w:szCs w:val="24"/>
          <w:lang w:val="en-GB"/>
        </w:rPr>
        <w:t>uncover a</w:t>
      </w:r>
      <w:r w:rsidRPr="00C94705">
        <w:rPr>
          <w:rStyle w:val="Finomkiemels"/>
          <w:rFonts w:ascii="Times New Roman" w:hAnsi="Times New Roman" w:cs="Times New Roman"/>
          <w:i w:val="0"/>
          <w:color w:val="auto"/>
          <w:sz w:val="24"/>
          <w:szCs w:val="24"/>
          <w:lang w:val="en-US"/>
        </w:rPr>
        <w:t xml:space="preserve"> hate crime. Some of the obligations have been briefly highlighted in the previous section and some will be highlighted through case law </w:t>
      </w:r>
      <w:r w:rsidR="00FF0A5B">
        <w:rPr>
          <w:rStyle w:val="Finomkiemels"/>
          <w:rFonts w:ascii="Times New Roman" w:hAnsi="Times New Roman" w:cs="Times New Roman"/>
          <w:i w:val="0"/>
          <w:color w:val="auto"/>
          <w:sz w:val="24"/>
          <w:szCs w:val="24"/>
          <w:lang w:val="en-US"/>
        </w:rPr>
        <w:t>that has been provided for further reading at the end of this section</w:t>
      </w:r>
      <w:r w:rsidRPr="00C94705">
        <w:rPr>
          <w:rStyle w:val="Finomkiemels"/>
          <w:rFonts w:ascii="Times New Roman" w:hAnsi="Times New Roman" w:cs="Times New Roman"/>
          <w:i w:val="0"/>
          <w:color w:val="auto"/>
          <w:sz w:val="24"/>
          <w:szCs w:val="24"/>
          <w:lang w:val="en-US"/>
        </w:rPr>
        <w:t xml:space="preserve">. Beforehand, though, is important to mention that, </w:t>
      </w:r>
      <w:r w:rsidR="004A0200" w:rsidRPr="00C94705">
        <w:rPr>
          <w:rStyle w:val="Finomkiemels"/>
          <w:rFonts w:ascii="Times New Roman" w:hAnsi="Times New Roman" w:cs="Times New Roman"/>
          <w:i w:val="0"/>
          <w:color w:val="auto"/>
          <w:sz w:val="24"/>
          <w:szCs w:val="24"/>
          <w:lang w:val="en-US"/>
        </w:rPr>
        <w:t>crucial</w:t>
      </w:r>
      <w:r w:rsidRPr="00C94705">
        <w:rPr>
          <w:rStyle w:val="Finomkiemels"/>
          <w:rFonts w:ascii="Times New Roman" w:hAnsi="Times New Roman" w:cs="Times New Roman"/>
          <w:i w:val="0"/>
          <w:color w:val="auto"/>
          <w:sz w:val="24"/>
          <w:szCs w:val="24"/>
          <w:lang w:val="en-US"/>
        </w:rPr>
        <w:t xml:space="preserve"> as this task may be, it is neither easy, nor straightforward.</w:t>
      </w:r>
    </w:p>
    <w:p w:rsidR="004435C2" w:rsidRPr="004A0200" w:rsidRDefault="004435C2" w:rsidP="001406E9">
      <w:pPr>
        <w:ind w:firstLine="360"/>
        <w:jc w:val="both"/>
        <w:rPr>
          <w:rFonts w:ascii="Times New Roman" w:hAnsi="Times New Roman" w:cs="Times New Roman"/>
          <w:iCs/>
          <w:sz w:val="24"/>
          <w:szCs w:val="24"/>
          <w:lang w:val="en-US"/>
        </w:rPr>
      </w:pPr>
      <w:r w:rsidRPr="004A0200">
        <w:rPr>
          <w:rFonts w:ascii="Times New Roman" w:hAnsi="Times New Roman" w:cs="Times New Roman"/>
          <w:iCs/>
          <w:sz w:val="24"/>
          <w:szCs w:val="24"/>
          <w:lang w:val="en-US"/>
        </w:rPr>
        <w:t>In November 2016, for instance, the European Union’s Agency for Fundamental Rights (FRA) published a paper on violence, harassment, threats and xenophobic speech targeting asylum seekers and migrants.</w:t>
      </w:r>
      <w:r w:rsidRPr="004A0200">
        <w:rPr>
          <w:rStyle w:val="Lbjegyzet-hivatkozs"/>
          <w:rFonts w:ascii="Times New Roman" w:hAnsi="Times New Roman" w:cs="Times New Roman"/>
          <w:iCs/>
          <w:sz w:val="24"/>
          <w:szCs w:val="24"/>
          <w:lang w:val="en-US"/>
        </w:rPr>
        <w:footnoteReference w:id="35"/>
      </w:r>
      <w:r w:rsidRPr="004A0200">
        <w:rPr>
          <w:rFonts w:ascii="Times New Roman" w:hAnsi="Times New Roman" w:cs="Times New Roman"/>
          <w:iCs/>
          <w:sz w:val="24"/>
          <w:szCs w:val="24"/>
          <w:lang w:val="en-US"/>
        </w:rPr>
        <w:t xml:space="preserve"> FRA data – as of November 2016 – indicate that these issues remain pervasive and grave across the European Union, </w:t>
      </w:r>
      <w:r w:rsidRPr="004A0200">
        <w:rPr>
          <w:rFonts w:ascii="Times New Roman" w:hAnsi="Times New Roman" w:cs="Times New Roman"/>
          <w:iCs/>
          <w:sz w:val="24"/>
          <w:szCs w:val="24"/>
          <w:lang w:val="en-US"/>
        </w:rPr>
        <w:lastRenderedPageBreak/>
        <w:t>whether committed by state authorities, private companies or individuals, or vigilante groups.</w:t>
      </w:r>
      <w:r w:rsidR="004A0200">
        <w:rPr>
          <w:rFonts w:ascii="Times New Roman" w:hAnsi="Times New Roman" w:cs="Times New Roman"/>
          <w:iCs/>
          <w:sz w:val="24"/>
          <w:szCs w:val="24"/>
          <w:lang w:val="en-US"/>
        </w:rPr>
        <w:t xml:space="preserve"> Namely, the reports finding showed that:</w:t>
      </w:r>
    </w:p>
    <w:p w:rsidR="004435C2" w:rsidRPr="000247EB" w:rsidRDefault="004435C2" w:rsidP="004435C2">
      <w:pPr>
        <w:numPr>
          <w:ilvl w:val="0"/>
          <w:numId w:val="3"/>
        </w:numPr>
        <w:jc w:val="both"/>
        <w:rPr>
          <w:rFonts w:ascii="Times New Roman" w:hAnsi="Times New Roman" w:cs="Times New Roman"/>
          <w:iCs/>
          <w:szCs w:val="24"/>
          <w:lang w:val="en-US"/>
        </w:rPr>
      </w:pPr>
      <w:r w:rsidRPr="000247EB">
        <w:rPr>
          <w:rFonts w:ascii="Times New Roman" w:hAnsi="Times New Roman" w:cs="Times New Roman"/>
          <w:iCs/>
          <w:szCs w:val="24"/>
          <w:lang w:val="en-US"/>
        </w:rPr>
        <w:t>Violent acts targeting asylum seekers, migrants and persons with ethnic minority backgrounds – including killings, threats and intimidation – are committed in a number of Member States.</w:t>
      </w:r>
    </w:p>
    <w:p w:rsidR="004435C2" w:rsidRPr="00A47CE9" w:rsidRDefault="004435C2" w:rsidP="004435C2">
      <w:pPr>
        <w:numPr>
          <w:ilvl w:val="0"/>
          <w:numId w:val="3"/>
        </w:numPr>
        <w:jc w:val="both"/>
        <w:rPr>
          <w:rFonts w:ascii="Times New Roman" w:hAnsi="Times New Roman" w:cs="Times New Roman"/>
          <w:iCs/>
          <w:szCs w:val="24"/>
          <w:lang w:val="en-GB"/>
        </w:rPr>
      </w:pPr>
      <w:r w:rsidRPr="000247EB">
        <w:rPr>
          <w:rFonts w:ascii="Times New Roman" w:hAnsi="Times New Roman" w:cs="Times New Roman"/>
          <w:iCs/>
          <w:szCs w:val="24"/>
          <w:lang w:val="en-US"/>
        </w:rPr>
        <w:t>Evidence indicates that racist and xenophobic violence is committed by a variety of offenders, including people stemming from the general p</w:t>
      </w:r>
      <w:r>
        <w:rPr>
          <w:rFonts w:ascii="Times New Roman" w:hAnsi="Times New Roman" w:cs="Times New Roman"/>
          <w:iCs/>
          <w:szCs w:val="24"/>
          <w:lang w:val="en-US"/>
        </w:rPr>
        <w:t>opulation and members of vigila</w:t>
      </w:r>
      <w:r w:rsidRPr="000247EB">
        <w:rPr>
          <w:rFonts w:ascii="Times New Roman" w:hAnsi="Times New Roman" w:cs="Times New Roman"/>
          <w:iCs/>
          <w:szCs w:val="24"/>
          <w:lang w:val="en-US"/>
        </w:rPr>
        <w:t>nte groups.</w:t>
      </w:r>
    </w:p>
    <w:p w:rsidR="004435C2" w:rsidRPr="000247EB" w:rsidRDefault="004435C2" w:rsidP="004435C2">
      <w:pPr>
        <w:numPr>
          <w:ilvl w:val="0"/>
          <w:numId w:val="3"/>
        </w:numPr>
        <w:jc w:val="both"/>
        <w:rPr>
          <w:rFonts w:ascii="Times New Roman" w:hAnsi="Times New Roman" w:cs="Times New Roman"/>
          <w:iCs/>
          <w:szCs w:val="24"/>
          <w:lang w:val="en-US"/>
        </w:rPr>
      </w:pPr>
      <w:r w:rsidRPr="000247EB">
        <w:rPr>
          <w:rFonts w:ascii="Times New Roman" w:hAnsi="Times New Roman" w:cs="Times New Roman"/>
          <w:iCs/>
          <w:szCs w:val="24"/>
          <w:lang w:val="en-US"/>
        </w:rPr>
        <w:t>State authorities’ responses to hate crime against asylum seekers and migrants are perceived as weak by civil society in many Member States. In some cases, political actors welcomed the activities of vigilante groups.</w:t>
      </w:r>
    </w:p>
    <w:p w:rsidR="004435C2" w:rsidRPr="000247EB" w:rsidRDefault="004435C2" w:rsidP="004435C2">
      <w:pPr>
        <w:numPr>
          <w:ilvl w:val="0"/>
          <w:numId w:val="3"/>
        </w:numPr>
        <w:jc w:val="both"/>
        <w:rPr>
          <w:rFonts w:ascii="Times New Roman" w:hAnsi="Times New Roman" w:cs="Times New Roman"/>
          <w:iCs/>
          <w:szCs w:val="24"/>
          <w:lang w:val="en-US"/>
        </w:rPr>
      </w:pPr>
      <w:r w:rsidRPr="000247EB">
        <w:rPr>
          <w:rFonts w:ascii="Times New Roman" w:hAnsi="Times New Roman" w:cs="Times New Roman"/>
          <w:iCs/>
          <w:szCs w:val="24"/>
          <w:lang w:val="en-US"/>
        </w:rPr>
        <w:t>Most Member States do not collect or publish statistical data on incidents and hate crimes against asylum seekers and migrants.</w:t>
      </w:r>
    </w:p>
    <w:p w:rsidR="004435C2" w:rsidRPr="000247EB" w:rsidRDefault="004435C2" w:rsidP="004435C2">
      <w:pPr>
        <w:numPr>
          <w:ilvl w:val="0"/>
          <w:numId w:val="3"/>
        </w:numPr>
        <w:jc w:val="both"/>
        <w:rPr>
          <w:rFonts w:ascii="Times New Roman" w:hAnsi="Times New Roman" w:cs="Times New Roman"/>
          <w:iCs/>
          <w:szCs w:val="24"/>
          <w:lang w:val="en-US"/>
        </w:rPr>
      </w:pPr>
      <w:r w:rsidRPr="000247EB">
        <w:rPr>
          <w:rFonts w:ascii="Times New Roman" w:hAnsi="Times New Roman" w:cs="Times New Roman"/>
          <w:iCs/>
          <w:szCs w:val="24"/>
          <w:lang w:val="en-US"/>
        </w:rPr>
        <w:t>Where such data do exist – for example, collected by civil society – they indicate that such incidents are pervasive and grave.</w:t>
      </w:r>
    </w:p>
    <w:p w:rsidR="004435C2" w:rsidRPr="000247EB" w:rsidRDefault="004435C2" w:rsidP="004435C2">
      <w:pPr>
        <w:numPr>
          <w:ilvl w:val="0"/>
          <w:numId w:val="3"/>
        </w:numPr>
        <w:jc w:val="both"/>
        <w:rPr>
          <w:rFonts w:ascii="Times New Roman" w:hAnsi="Times New Roman" w:cs="Times New Roman"/>
          <w:iCs/>
          <w:szCs w:val="24"/>
          <w:lang w:val="en-US"/>
        </w:rPr>
      </w:pPr>
      <w:r w:rsidRPr="000247EB">
        <w:rPr>
          <w:rFonts w:ascii="Times New Roman" w:hAnsi="Times New Roman" w:cs="Times New Roman"/>
          <w:iCs/>
          <w:szCs w:val="24"/>
          <w:lang w:val="en-US"/>
        </w:rPr>
        <w:t>In addition to asylum seekers and migrants, other groups – including Muslims, especially women and persons with ethnic backgrounds – are specifically targeted, as are human rights advocates, ‘pro-refugee’ politicians and journalists reporting on the issue.</w:t>
      </w:r>
    </w:p>
    <w:p w:rsidR="004435C2" w:rsidRPr="000247EB" w:rsidRDefault="004435C2" w:rsidP="004435C2">
      <w:pPr>
        <w:numPr>
          <w:ilvl w:val="0"/>
          <w:numId w:val="3"/>
        </w:numPr>
        <w:jc w:val="both"/>
        <w:rPr>
          <w:rFonts w:ascii="Times New Roman" w:hAnsi="Times New Roman" w:cs="Times New Roman"/>
          <w:iCs/>
          <w:szCs w:val="24"/>
        </w:rPr>
      </w:pPr>
      <w:r w:rsidRPr="000247EB">
        <w:rPr>
          <w:rFonts w:ascii="Times New Roman" w:hAnsi="Times New Roman" w:cs="Times New Roman"/>
          <w:iCs/>
          <w:szCs w:val="24"/>
          <w:lang w:val="en-US"/>
        </w:rPr>
        <w:t xml:space="preserve">A number of factors impede the reporting of hate crimes against asylum seekers and migrants to authorities or other organizations. </w:t>
      </w:r>
      <w:r w:rsidRPr="000247EB">
        <w:rPr>
          <w:rFonts w:ascii="Times New Roman" w:hAnsi="Times New Roman" w:cs="Times New Roman"/>
          <w:iCs/>
          <w:szCs w:val="24"/>
        </w:rPr>
        <w:t>Low reporting renders the issue invisible.</w:t>
      </w:r>
    </w:p>
    <w:p w:rsidR="004435C2" w:rsidRPr="000247EB" w:rsidRDefault="004435C2" w:rsidP="004435C2">
      <w:pPr>
        <w:numPr>
          <w:ilvl w:val="0"/>
          <w:numId w:val="3"/>
        </w:numPr>
        <w:jc w:val="both"/>
        <w:rPr>
          <w:rFonts w:ascii="Times New Roman" w:hAnsi="Times New Roman" w:cs="Times New Roman"/>
          <w:iCs/>
          <w:szCs w:val="24"/>
          <w:lang w:val="en-US"/>
        </w:rPr>
      </w:pPr>
      <w:r w:rsidRPr="000247EB">
        <w:rPr>
          <w:rFonts w:ascii="Times New Roman" w:hAnsi="Times New Roman" w:cs="Times New Roman"/>
          <w:iCs/>
          <w:szCs w:val="24"/>
          <w:lang w:val="en-US"/>
        </w:rPr>
        <w:t>There is evidence of growing hate speech targeting asylum seekers and migrants on the internet, with investigation remaining difficult.</w:t>
      </w:r>
    </w:p>
    <w:p w:rsidR="004435C2" w:rsidRPr="000247EB" w:rsidRDefault="004435C2" w:rsidP="004435C2">
      <w:pPr>
        <w:numPr>
          <w:ilvl w:val="0"/>
          <w:numId w:val="3"/>
        </w:numPr>
        <w:jc w:val="both"/>
        <w:rPr>
          <w:rFonts w:ascii="Times New Roman" w:hAnsi="Times New Roman" w:cs="Times New Roman"/>
          <w:iCs/>
          <w:szCs w:val="24"/>
          <w:lang w:val="en-US"/>
        </w:rPr>
      </w:pPr>
      <w:r w:rsidRPr="000247EB">
        <w:rPr>
          <w:rFonts w:ascii="Times New Roman" w:hAnsi="Times New Roman" w:cs="Times New Roman"/>
          <w:iCs/>
          <w:szCs w:val="24"/>
          <w:lang w:val="en-US"/>
        </w:rPr>
        <w:t>Victim support services tailored to the needs of asylum seekers and migrants are limited in the Member States. There is a perception among practitioners that asylum seekers and migrants have limited access to victim support services.</w:t>
      </w:r>
    </w:p>
    <w:p w:rsidR="004435C2" w:rsidRDefault="004435C2" w:rsidP="004435C2">
      <w:pPr>
        <w:jc w:val="both"/>
        <w:rPr>
          <w:rStyle w:val="Finomkiemels"/>
          <w:rFonts w:ascii="Times New Roman" w:hAnsi="Times New Roman" w:cs="Times New Roman"/>
          <w:i w:val="0"/>
          <w:szCs w:val="24"/>
          <w:lang w:val="en-US"/>
        </w:rPr>
      </w:pPr>
    </w:p>
    <w:p w:rsidR="004435C2" w:rsidRPr="004A0200" w:rsidRDefault="004435C2" w:rsidP="004A0200">
      <w:pPr>
        <w:ind w:firstLine="360"/>
        <w:jc w:val="both"/>
        <w:rPr>
          <w:rStyle w:val="Finomkiemels"/>
          <w:rFonts w:ascii="Times New Roman" w:hAnsi="Times New Roman" w:cs="Times New Roman"/>
          <w:i w:val="0"/>
          <w:color w:val="auto"/>
          <w:sz w:val="24"/>
          <w:szCs w:val="24"/>
          <w:lang w:val="en-US"/>
        </w:rPr>
      </w:pPr>
      <w:r w:rsidRPr="004A0200">
        <w:rPr>
          <w:rStyle w:val="Finomkiemels"/>
          <w:rFonts w:ascii="Times New Roman" w:hAnsi="Times New Roman" w:cs="Times New Roman"/>
          <w:i w:val="0"/>
          <w:color w:val="auto"/>
          <w:sz w:val="24"/>
          <w:szCs w:val="24"/>
          <w:lang w:val="en-US"/>
        </w:rPr>
        <w:t>In conclusion, not only are hate crimes on the rise, but as of yet there is still a significant lack of mechanisms to address them. Not only this, but as if in a state of nature, whereby the only law is that of survival of the fittest, there seems to be a legitimization of vigilante groups, which have undertaken to unilaterally and violently enforce their own beliefs as to the way society should be. This, of course, speaks volumes of the necessity to address the situation. How?</w:t>
      </w:r>
    </w:p>
    <w:p w:rsidR="004435C2" w:rsidRPr="004A0200" w:rsidRDefault="004435C2" w:rsidP="004A0200">
      <w:pPr>
        <w:ind w:firstLine="360"/>
        <w:jc w:val="both"/>
        <w:rPr>
          <w:rStyle w:val="Finomkiemels"/>
          <w:rFonts w:ascii="Times New Roman" w:hAnsi="Times New Roman" w:cs="Times New Roman"/>
          <w:i w:val="0"/>
          <w:color w:val="auto"/>
          <w:sz w:val="24"/>
          <w:szCs w:val="24"/>
          <w:lang w:val="en-US"/>
        </w:rPr>
      </w:pPr>
      <w:r w:rsidRPr="004A0200">
        <w:rPr>
          <w:rStyle w:val="Finomkiemels"/>
          <w:rFonts w:ascii="Times New Roman" w:hAnsi="Times New Roman" w:cs="Times New Roman"/>
          <w:i w:val="0"/>
          <w:color w:val="auto"/>
          <w:sz w:val="24"/>
          <w:szCs w:val="24"/>
          <w:lang w:val="en-US"/>
        </w:rPr>
        <w:lastRenderedPageBreak/>
        <w:t>As already mentioned, the most notable issue would be increasing the capacity to monitor and report hate crimes. After all, without full and accurate knowledge of a problem, it is hardly possible to actually address it.</w:t>
      </w:r>
      <w:r w:rsidRPr="004A0200">
        <w:rPr>
          <w:rStyle w:val="Lbjegyzet-hivatkozs"/>
          <w:rFonts w:ascii="Times New Roman" w:hAnsi="Times New Roman" w:cs="Times New Roman"/>
          <w:i/>
          <w:iCs/>
          <w:sz w:val="24"/>
          <w:szCs w:val="24"/>
          <w:lang w:val="en-US"/>
        </w:rPr>
        <w:footnoteReference w:id="36"/>
      </w:r>
    </w:p>
    <w:p w:rsidR="004435C2" w:rsidRPr="00217967" w:rsidRDefault="004435C2" w:rsidP="004A0200">
      <w:pPr>
        <w:pStyle w:val="Idzet"/>
        <w:jc w:val="both"/>
        <w:rPr>
          <w:lang w:val="en-GB"/>
        </w:rPr>
      </w:pPr>
      <w:r w:rsidRPr="00217967">
        <w:rPr>
          <w:rStyle w:val="Ershangslyozs"/>
          <w:b w:val="0"/>
          <w:bCs w:val="0"/>
          <w:i/>
          <w:iCs/>
          <w:color w:val="404040" w:themeColor="text1" w:themeTint="BF"/>
          <w:lang w:val="en-GB"/>
        </w:rPr>
        <w:t>To tackle hate crime and address related fundamental rights violations, the EU and its Member States need to make such crimes more visible and hold perpetrators accountable</w:t>
      </w:r>
      <w:r w:rsidRPr="00217967">
        <w:rPr>
          <w:rStyle w:val="Finomkiemels"/>
          <w:i/>
          <w:iCs/>
          <w:color w:val="404040" w:themeColor="text1" w:themeTint="BF"/>
          <w:lang w:val="en-GB"/>
        </w:rPr>
        <w:t>.</w:t>
      </w:r>
      <w:r w:rsidRPr="004A0200">
        <w:rPr>
          <w:rStyle w:val="Lbjegyzet-hivatkozs"/>
          <w:vertAlign w:val="baseline"/>
        </w:rPr>
        <w:footnoteReference w:id="37"/>
      </w:r>
    </w:p>
    <w:p w:rsidR="004435C2" w:rsidRPr="004A0200" w:rsidRDefault="004435C2" w:rsidP="001406E9">
      <w:pPr>
        <w:ind w:firstLine="720"/>
        <w:jc w:val="both"/>
        <w:rPr>
          <w:rStyle w:val="Finomkiemels"/>
          <w:rFonts w:ascii="Times New Roman" w:hAnsi="Times New Roman" w:cs="Times New Roman"/>
          <w:i w:val="0"/>
          <w:color w:val="auto"/>
          <w:sz w:val="24"/>
          <w:szCs w:val="24"/>
          <w:lang w:val="en-US"/>
        </w:rPr>
      </w:pPr>
      <w:r w:rsidRPr="004A0200">
        <w:rPr>
          <w:rStyle w:val="Finomkiemels"/>
          <w:rFonts w:ascii="Times New Roman" w:hAnsi="Times New Roman" w:cs="Times New Roman"/>
          <w:i w:val="0"/>
          <w:color w:val="auto"/>
          <w:sz w:val="24"/>
          <w:szCs w:val="24"/>
          <w:lang w:val="en-US"/>
        </w:rPr>
        <w:t>That being said, the issue of how this knowledge is used –towards what end– is of similar, if not higher, importance. Acquiring knowledge on hate crimes is only one aspect of the equation, reinforcing the democratic norms and values, by making it clear that such crimes will under no circumstances be tolerated, is the second. And it is at the conjunction of both these actions that the role of the judiciary becomes necessarily one of crucial importance, since it is the par excellence authority capable of positively addressing both.</w:t>
      </w:r>
    </w:p>
    <w:p w:rsidR="001406E9" w:rsidRDefault="001406E9" w:rsidP="004435C2">
      <w:pPr>
        <w:jc w:val="both"/>
        <w:rPr>
          <w:rStyle w:val="Finomkiemels"/>
          <w:rFonts w:ascii="Times New Roman" w:hAnsi="Times New Roman" w:cs="Times New Roman"/>
          <w:i w:val="0"/>
          <w:szCs w:val="24"/>
          <w:lang w:val="en-US"/>
        </w:rPr>
      </w:pPr>
    </w:p>
    <w:tbl>
      <w:tblPr>
        <w:tblStyle w:val="MediumGrid1-Accent51"/>
        <w:tblW w:w="0" w:type="auto"/>
        <w:tblLook w:val="04A0"/>
      </w:tblPr>
      <w:tblGrid>
        <w:gridCol w:w="8440"/>
      </w:tblGrid>
      <w:tr w:rsidR="001406E9" w:rsidRPr="00595388" w:rsidTr="00DD5F20">
        <w:trPr>
          <w:cnfStyle w:val="100000000000"/>
        </w:trPr>
        <w:tc>
          <w:tcPr>
            <w:cnfStyle w:val="001000000000"/>
            <w:tcW w:w="8440" w:type="dxa"/>
          </w:tcPr>
          <w:p w:rsidR="001406E9" w:rsidRPr="00D53498" w:rsidRDefault="001406E9" w:rsidP="00DD5F20">
            <w:pPr>
              <w:jc w:val="both"/>
              <w:rPr>
                <w:rFonts w:ascii="Verdana" w:eastAsia="MS Mincho" w:hAnsi="Verdana" w:cs="Times New Roman"/>
                <w:color w:val="943634"/>
                <w:sz w:val="19"/>
                <w:szCs w:val="19"/>
              </w:rPr>
            </w:pPr>
            <w:r w:rsidRPr="004E74E3">
              <w:rPr>
                <w:rFonts w:ascii="Verdana" w:eastAsia="MS Mincho" w:hAnsi="Verdana" w:cs="Times New Roman"/>
                <w:color w:val="943634"/>
                <w:sz w:val="19"/>
                <w:szCs w:val="19"/>
              </w:rPr>
              <w:t xml:space="preserve">European Court of Human Rights, </w:t>
            </w:r>
            <w:r w:rsidRPr="00B6291F">
              <w:rPr>
                <w:rFonts w:ascii="Verdana" w:eastAsia="MS Mincho" w:hAnsi="Verdana" w:cs="Times New Roman"/>
                <w:iCs/>
                <w:color w:val="943634"/>
                <w:sz w:val="19"/>
                <w:szCs w:val="19"/>
              </w:rPr>
              <w:t>Király and Dömötör v. Hungary</w:t>
            </w:r>
            <w:r w:rsidRPr="004E74E3">
              <w:rPr>
                <w:rFonts w:ascii="Verdana" w:eastAsia="MS Mincho" w:hAnsi="Verdana" w:cs="Times New Roman"/>
                <w:color w:val="943634"/>
                <w:sz w:val="19"/>
                <w:szCs w:val="19"/>
              </w:rPr>
              <w:t xml:space="preserve">, Application no. </w:t>
            </w:r>
            <w:r w:rsidRPr="004E74E3">
              <w:rPr>
                <w:rFonts w:ascii="Verdana" w:eastAsia="MS Mincho" w:hAnsi="Verdana" w:cs="Times New Roman"/>
                <w:i/>
                <w:iCs/>
                <w:color w:val="943634"/>
                <w:sz w:val="19"/>
                <w:szCs w:val="19"/>
              </w:rPr>
              <w:t>63409/11</w:t>
            </w:r>
            <w:r w:rsidRPr="004E74E3">
              <w:rPr>
                <w:rFonts w:ascii="Verdana" w:eastAsia="MS Mincho" w:hAnsi="Verdana" w:cs="Times New Roman"/>
                <w:iCs/>
                <w:color w:val="943634"/>
                <w:sz w:val="19"/>
                <w:szCs w:val="19"/>
              </w:rPr>
              <w:t xml:space="preserve">, Judgment of </w:t>
            </w:r>
            <w:r w:rsidRPr="00D53498">
              <w:rPr>
                <w:rFonts w:ascii="Verdana" w:eastAsia="MS Mincho" w:hAnsi="Verdana" w:cs="Times New Roman"/>
                <w:iCs/>
                <w:color w:val="943634"/>
                <w:sz w:val="19"/>
                <w:szCs w:val="19"/>
              </w:rPr>
              <w:t>17 January 2017</w:t>
            </w:r>
            <w:hyperlink r:id="rId14" w:history="1">
              <w:r w:rsidRPr="00D53498">
                <w:rPr>
                  <w:rStyle w:val="Hiperhivatkozs"/>
                  <w:rFonts w:ascii="Verdana" w:eastAsia="MS Mincho" w:hAnsi="Verdana" w:cs="Times New Roman"/>
                  <w:b w:val="0"/>
                  <w:bCs w:val="0"/>
                  <w:iCs/>
                  <w:sz w:val="19"/>
                  <w:szCs w:val="19"/>
                </w:rPr>
                <w:t>link</w:t>
              </w:r>
            </w:hyperlink>
          </w:p>
          <w:p w:rsidR="001406E9" w:rsidRPr="005A2D6B" w:rsidRDefault="001406E9" w:rsidP="00DD5F20">
            <w:pPr>
              <w:contextualSpacing/>
              <w:jc w:val="both"/>
              <w:rPr>
                <w:rFonts w:ascii="Verdana" w:eastAsia="MS Mincho" w:hAnsi="Verdana" w:cs="Times New Roman"/>
                <w:sz w:val="18"/>
                <w:szCs w:val="18"/>
                <w:u w:val="single"/>
              </w:rPr>
            </w:pPr>
          </w:p>
          <w:p w:rsidR="001406E9" w:rsidRPr="005A2D6B" w:rsidRDefault="001406E9" w:rsidP="00DD5F20">
            <w:pPr>
              <w:contextualSpacing/>
              <w:jc w:val="both"/>
              <w:rPr>
                <w:rFonts w:ascii="Verdana" w:eastAsia="MS Mincho" w:hAnsi="Verdana" w:cs="Times New Roman"/>
                <w:b w:val="0"/>
                <w:sz w:val="18"/>
                <w:szCs w:val="18"/>
              </w:rPr>
            </w:pPr>
            <w:r w:rsidRPr="005A2D6B">
              <w:rPr>
                <w:rFonts w:ascii="Verdana" w:eastAsia="MS Mincho" w:hAnsi="Verdana" w:cs="Times New Roman"/>
                <w:b w:val="0"/>
                <w:sz w:val="18"/>
                <w:szCs w:val="18"/>
                <w:u w:val="single"/>
              </w:rPr>
              <w:t>Facts</w:t>
            </w:r>
            <w:r w:rsidRPr="005A2D6B">
              <w:rPr>
                <w:rFonts w:ascii="Verdana" w:eastAsia="MS Mincho" w:hAnsi="Verdana" w:cs="Times New Roman"/>
                <w:b w:val="0"/>
                <w:sz w:val="18"/>
                <w:szCs w:val="18"/>
              </w:rPr>
              <w:t xml:space="preserve">: The case concerned </w:t>
            </w:r>
            <w:r>
              <w:rPr>
                <w:rFonts w:ascii="Verdana" w:eastAsia="MS Mincho" w:hAnsi="Verdana" w:cs="Times New Roman"/>
                <w:b w:val="0"/>
                <w:sz w:val="18"/>
                <w:szCs w:val="18"/>
              </w:rPr>
              <w:t xml:space="preserve">two Hungarian nationals, of Roma origin, who claimed that </w:t>
            </w:r>
            <w:r w:rsidRPr="005A2D6B">
              <w:rPr>
                <w:rFonts w:ascii="Verdana" w:eastAsia="MS Mincho" w:hAnsi="Verdana" w:cs="Times New Roman"/>
                <w:b w:val="0"/>
                <w:sz w:val="18"/>
                <w:szCs w:val="18"/>
              </w:rPr>
              <w:t xml:space="preserve">the police had failed to protect them </w:t>
            </w:r>
            <w:r>
              <w:rPr>
                <w:rFonts w:ascii="Verdana" w:eastAsia="MS Mincho" w:hAnsi="Verdana" w:cs="Times New Roman"/>
                <w:b w:val="0"/>
                <w:sz w:val="18"/>
                <w:szCs w:val="18"/>
              </w:rPr>
              <w:t>from racist abuse during an anti-Roma</w:t>
            </w:r>
            <w:r w:rsidRPr="005A2D6B">
              <w:rPr>
                <w:rFonts w:ascii="Verdana" w:eastAsia="MS Mincho" w:hAnsi="Verdana" w:cs="Times New Roman"/>
                <w:b w:val="0"/>
                <w:sz w:val="18"/>
                <w:szCs w:val="18"/>
              </w:rPr>
              <w:t xml:space="preserve"> demonstration and to properly investigate the incident.</w:t>
            </w:r>
          </w:p>
          <w:p w:rsidR="001406E9" w:rsidRPr="005A2D6B" w:rsidRDefault="001406E9" w:rsidP="00DD5F20">
            <w:pPr>
              <w:contextualSpacing/>
              <w:jc w:val="both"/>
              <w:rPr>
                <w:rFonts w:ascii="Verdana" w:eastAsia="MS Mincho" w:hAnsi="Verdana" w:cs="Times New Roman"/>
                <w:b w:val="0"/>
                <w:sz w:val="18"/>
                <w:szCs w:val="18"/>
                <w:u w:val="single"/>
                <w:lang w:val="en-GB"/>
              </w:rPr>
            </w:pPr>
          </w:p>
          <w:p w:rsidR="001406E9" w:rsidRPr="005A2D6B" w:rsidRDefault="001406E9" w:rsidP="00DD5F20">
            <w:pPr>
              <w:contextualSpacing/>
              <w:jc w:val="both"/>
              <w:rPr>
                <w:rFonts w:ascii="Verdana" w:eastAsia="MS Mincho" w:hAnsi="Verdana" w:cs="Times New Roman"/>
                <w:b w:val="0"/>
                <w:color w:val="0000FF"/>
                <w:sz w:val="18"/>
                <w:szCs w:val="18"/>
                <w:u w:val="single"/>
              </w:rPr>
            </w:pPr>
            <w:r w:rsidRPr="005A2D6B">
              <w:rPr>
                <w:rFonts w:ascii="Verdana" w:eastAsia="MS Mincho" w:hAnsi="Verdana" w:cs="Times New Roman"/>
                <w:b w:val="0"/>
                <w:sz w:val="18"/>
                <w:szCs w:val="18"/>
                <w:u w:val="single"/>
                <w:lang w:val="en-GB"/>
              </w:rPr>
              <w:t>Analysis</w:t>
            </w:r>
            <w:r w:rsidRPr="005A2D6B">
              <w:rPr>
                <w:rFonts w:ascii="Verdana" w:eastAsia="MS Mincho" w:hAnsi="Verdana" w:cs="Times New Roman"/>
                <w:b w:val="0"/>
                <w:sz w:val="18"/>
                <w:szCs w:val="18"/>
                <w:lang w:val="en-GB"/>
              </w:rPr>
              <w:t xml:space="preserve">: </w:t>
            </w:r>
            <w:r w:rsidRPr="005A2D6B">
              <w:rPr>
                <w:rFonts w:ascii="Verdana" w:eastAsia="MS Mincho" w:hAnsi="Verdana" w:cs="Times New Roman"/>
                <w:b w:val="0"/>
                <w:sz w:val="18"/>
                <w:szCs w:val="18"/>
              </w:rPr>
              <w:t xml:space="preserve">The Court found in particular that the authorities’ investigations into the incident had been limited. Namely, one of the investigations – concerning the speeches made during the demonstration – had not taken into account the specific context of the abuse and another – concerning the offence of violence against a group – had been slow and limited to acts of physical violence. The investigations had not therefore established the true and complex nature of the events. The cumulative effect of these shortcomings had meant that an openly racist demonstration, with sporadic acts of violence, had remained virtually without legal consequences. Indeed, the applicants’ psychological integrity had not been effectively protected against what had amounted to nothing less than organised intimidation of the Roma community, by means of a paramilitary parade, verbal threats and speeches advocating a policy of racial segregation. </w:t>
            </w:r>
            <w:r w:rsidRPr="00396AF8">
              <w:rPr>
                <w:rFonts w:ascii="Verdana" w:eastAsia="MS Mincho" w:hAnsi="Verdana" w:cs="Times New Roman"/>
                <w:sz w:val="18"/>
                <w:szCs w:val="18"/>
              </w:rPr>
              <w:t>The Court was concerned that this could be perceived by the public as the State’s legitimisation and/or tolerance of such behaviour</w:t>
            </w:r>
            <w:r w:rsidRPr="005A2D6B">
              <w:rPr>
                <w:rFonts w:ascii="Verdana" w:eastAsia="MS Mincho" w:hAnsi="Verdana" w:cs="Times New Roman"/>
                <w:b w:val="0"/>
                <w:sz w:val="18"/>
                <w:szCs w:val="18"/>
              </w:rPr>
              <w:t>.</w:t>
            </w:r>
          </w:p>
          <w:p w:rsidR="001406E9" w:rsidRPr="005A2D6B" w:rsidRDefault="001406E9" w:rsidP="00DD5F20">
            <w:pPr>
              <w:contextualSpacing/>
              <w:jc w:val="both"/>
              <w:rPr>
                <w:rFonts w:ascii="Verdana" w:eastAsia="MS Mincho" w:hAnsi="Verdana" w:cs="Times New Roman"/>
                <w:b w:val="0"/>
                <w:sz w:val="18"/>
                <w:szCs w:val="18"/>
              </w:rPr>
            </w:pPr>
          </w:p>
          <w:p w:rsidR="001406E9" w:rsidRPr="00731F68" w:rsidRDefault="001406E9" w:rsidP="00DD5F20">
            <w:pPr>
              <w:pStyle w:val="Listaszerbekezds"/>
              <w:jc w:val="both"/>
              <w:rPr>
                <w:rFonts w:ascii="Verdana" w:eastAsia="MS Mincho" w:hAnsi="Verdana" w:cs="Times New Roman"/>
                <w:b w:val="0"/>
                <w:i/>
                <w:sz w:val="18"/>
                <w:szCs w:val="18"/>
                <w:lang w:val="en-GB"/>
              </w:rPr>
            </w:pPr>
            <w:r>
              <w:rPr>
                <w:rFonts w:ascii="Verdana" w:eastAsia="MS Mincho" w:hAnsi="Verdana" w:cs="Times New Roman"/>
                <w:b w:val="0"/>
                <w:i/>
                <w:sz w:val="18"/>
                <w:szCs w:val="18"/>
                <w:u w:val="single"/>
              </w:rPr>
              <w:t>Para. 64</w:t>
            </w:r>
            <w:r w:rsidRPr="00731F68">
              <w:rPr>
                <w:rFonts w:ascii="Verdana" w:eastAsia="MS Mincho" w:hAnsi="Verdana" w:cs="Times New Roman"/>
                <w:b w:val="0"/>
                <w:i/>
                <w:sz w:val="18"/>
                <w:szCs w:val="18"/>
              </w:rPr>
              <w:t>:</w:t>
            </w:r>
            <w:r w:rsidRPr="00731F68">
              <w:rPr>
                <w:rFonts w:ascii="Verdana" w:eastAsia="MS Mincho" w:hAnsi="Verdana" w:cs="Times New Roman"/>
                <w:b w:val="0"/>
                <w:i/>
                <w:sz w:val="18"/>
                <w:szCs w:val="18"/>
                <w:lang w:val="en-GB"/>
              </w:rPr>
              <w:t xml:space="preserve"> As regards the decision of the police, subsequently reviewed by the</w:t>
            </w:r>
          </w:p>
          <w:p w:rsidR="001406E9" w:rsidRPr="00731F68" w:rsidRDefault="001406E9" w:rsidP="00DD5F20">
            <w:pPr>
              <w:pStyle w:val="Listaszerbekezds"/>
              <w:jc w:val="both"/>
              <w:rPr>
                <w:rFonts w:ascii="Verdana" w:eastAsia="MS Mincho" w:hAnsi="Verdana" w:cs="Times New Roman"/>
                <w:b w:val="0"/>
                <w:i/>
                <w:sz w:val="18"/>
                <w:szCs w:val="18"/>
                <w:lang w:val="en-GB"/>
              </w:rPr>
            </w:pPr>
            <w:r w:rsidRPr="00731F68">
              <w:rPr>
                <w:rFonts w:ascii="Verdana" w:eastAsia="MS Mincho" w:hAnsi="Verdana" w:cs="Times New Roman"/>
                <w:b w:val="0"/>
                <w:i/>
                <w:sz w:val="18"/>
                <w:szCs w:val="18"/>
                <w:lang w:val="en-GB"/>
              </w:rPr>
              <w:t>Administrative and Labour Court and the Kúria, not to disperse the</w:t>
            </w:r>
          </w:p>
          <w:p w:rsidR="001406E9" w:rsidRPr="00731F68" w:rsidRDefault="001406E9" w:rsidP="00DD5F20">
            <w:pPr>
              <w:pStyle w:val="Listaszerbekezds"/>
              <w:jc w:val="both"/>
              <w:rPr>
                <w:rFonts w:ascii="Verdana" w:eastAsia="MS Mincho" w:hAnsi="Verdana" w:cs="Times New Roman"/>
                <w:b w:val="0"/>
                <w:i/>
                <w:sz w:val="18"/>
                <w:szCs w:val="18"/>
                <w:lang w:val="en-GB"/>
              </w:rPr>
            </w:pPr>
            <w:r w:rsidRPr="00731F68">
              <w:rPr>
                <w:rFonts w:ascii="Verdana" w:eastAsia="MS Mincho" w:hAnsi="Verdana" w:cs="Times New Roman"/>
                <w:b w:val="0"/>
                <w:i/>
                <w:sz w:val="18"/>
                <w:szCs w:val="18"/>
                <w:lang w:val="en-GB"/>
              </w:rPr>
              <w:t>demonstration, this Court has previously accepted that in certain situations</w:t>
            </w:r>
          </w:p>
          <w:p w:rsidR="001406E9" w:rsidRPr="00731F68" w:rsidRDefault="001406E9" w:rsidP="00DD5F20">
            <w:pPr>
              <w:pStyle w:val="Listaszerbekezds"/>
              <w:jc w:val="both"/>
              <w:rPr>
                <w:rFonts w:ascii="Verdana" w:eastAsia="MS Mincho" w:hAnsi="Verdana" w:cs="Times New Roman"/>
                <w:b w:val="0"/>
                <w:i/>
                <w:sz w:val="18"/>
                <w:szCs w:val="18"/>
                <w:lang w:val="en-GB"/>
              </w:rPr>
            </w:pPr>
            <w:r w:rsidRPr="00731F68">
              <w:rPr>
                <w:rFonts w:ascii="Verdana" w:eastAsia="MS Mincho" w:hAnsi="Verdana" w:cs="Times New Roman"/>
                <w:b w:val="0"/>
                <w:i/>
                <w:sz w:val="18"/>
                <w:szCs w:val="18"/>
                <w:lang w:val="en-GB"/>
              </w:rPr>
              <w:t>the domestic authorities might be required to proceed with the dispersal of a</w:t>
            </w:r>
          </w:p>
          <w:p w:rsidR="001406E9" w:rsidRPr="00731F68" w:rsidRDefault="001406E9" w:rsidP="00DD5F20">
            <w:pPr>
              <w:pStyle w:val="Listaszerbekezds"/>
              <w:jc w:val="both"/>
              <w:rPr>
                <w:rFonts w:ascii="Verdana" w:eastAsia="MS Mincho" w:hAnsi="Verdana" w:cs="Times New Roman"/>
                <w:b w:val="0"/>
                <w:i/>
                <w:sz w:val="18"/>
                <w:szCs w:val="18"/>
                <w:lang w:val="en-GB"/>
              </w:rPr>
            </w:pPr>
            <w:r w:rsidRPr="00731F68">
              <w:rPr>
                <w:rFonts w:ascii="Verdana" w:eastAsia="MS Mincho" w:hAnsi="Verdana" w:cs="Times New Roman"/>
                <w:b w:val="0"/>
                <w:i/>
                <w:sz w:val="18"/>
                <w:szCs w:val="18"/>
                <w:lang w:val="en-GB"/>
              </w:rPr>
              <w:t>violent and blatantly intolerant demonstration in order to protect an</w:t>
            </w:r>
          </w:p>
          <w:p w:rsidR="001406E9" w:rsidRPr="00731F68" w:rsidRDefault="001406E9" w:rsidP="00DD5F20">
            <w:pPr>
              <w:pStyle w:val="Listaszerbekezds"/>
              <w:jc w:val="both"/>
              <w:rPr>
                <w:rFonts w:ascii="Verdana" w:eastAsia="MS Mincho" w:hAnsi="Verdana" w:cs="Times New Roman"/>
                <w:b w:val="0"/>
                <w:i/>
                <w:sz w:val="18"/>
                <w:szCs w:val="18"/>
                <w:lang w:val="en-GB"/>
              </w:rPr>
            </w:pPr>
            <w:r w:rsidRPr="00731F68">
              <w:rPr>
                <w:rFonts w:ascii="Verdana" w:eastAsia="MS Mincho" w:hAnsi="Verdana" w:cs="Times New Roman"/>
                <w:b w:val="0"/>
                <w:i/>
                <w:sz w:val="18"/>
                <w:szCs w:val="18"/>
                <w:lang w:val="en-GB"/>
              </w:rPr>
              <w:t>individual’s private life under Article 8 (see R.B. v. Hungary, cited</w:t>
            </w:r>
          </w:p>
          <w:p w:rsidR="001406E9" w:rsidRPr="00731F68" w:rsidRDefault="001406E9" w:rsidP="00DD5F20">
            <w:pPr>
              <w:pStyle w:val="Listaszerbekezds"/>
              <w:jc w:val="both"/>
              <w:rPr>
                <w:rFonts w:ascii="Verdana" w:eastAsia="MS Mincho" w:hAnsi="Verdana" w:cs="Times New Roman"/>
                <w:b w:val="0"/>
                <w:i/>
                <w:sz w:val="18"/>
                <w:szCs w:val="18"/>
                <w:lang w:val="en-GB"/>
              </w:rPr>
            </w:pPr>
            <w:r w:rsidRPr="00731F68">
              <w:rPr>
                <w:rFonts w:ascii="Verdana" w:eastAsia="MS Mincho" w:hAnsi="Verdana" w:cs="Times New Roman"/>
                <w:b w:val="0"/>
                <w:i/>
                <w:sz w:val="18"/>
                <w:szCs w:val="18"/>
                <w:lang w:val="en-GB"/>
              </w:rPr>
              <w:t>above, § 99). Examining the domestic approach to dispersal of</w:t>
            </w:r>
          </w:p>
          <w:p w:rsidR="001406E9" w:rsidRPr="00731F68" w:rsidRDefault="001406E9" w:rsidP="00DD5F20">
            <w:pPr>
              <w:pStyle w:val="Listaszerbekezds"/>
              <w:jc w:val="both"/>
              <w:rPr>
                <w:rFonts w:ascii="Verdana" w:eastAsia="MS Mincho" w:hAnsi="Verdana" w:cs="Times New Roman"/>
                <w:b w:val="0"/>
                <w:i/>
                <w:sz w:val="18"/>
                <w:szCs w:val="18"/>
                <w:lang w:val="en-GB"/>
              </w:rPr>
            </w:pPr>
            <w:r w:rsidRPr="00731F68">
              <w:rPr>
                <w:rFonts w:ascii="Verdana" w:eastAsia="MS Mincho" w:hAnsi="Verdana" w:cs="Times New Roman"/>
                <w:b w:val="0"/>
                <w:i/>
                <w:sz w:val="18"/>
                <w:szCs w:val="18"/>
                <w:lang w:val="en-GB"/>
              </w:rPr>
              <w:t>demonstrations, it appears that the police have a similar obligation to</w:t>
            </w:r>
          </w:p>
          <w:p w:rsidR="001406E9" w:rsidRPr="00731F68" w:rsidRDefault="001406E9" w:rsidP="00DD5F20">
            <w:pPr>
              <w:pStyle w:val="Listaszerbekezds"/>
              <w:jc w:val="both"/>
              <w:rPr>
                <w:rFonts w:ascii="Verdana" w:eastAsia="MS Mincho" w:hAnsi="Verdana" w:cs="Times New Roman"/>
                <w:b w:val="0"/>
                <w:i/>
                <w:sz w:val="18"/>
                <w:szCs w:val="18"/>
                <w:lang w:val="en-GB"/>
              </w:rPr>
            </w:pPr>
            <w:r w:rsidRPr="00731F68">
              <w:rPr>
                <w:rFonts w:ascii="Verdana" w:eastAsia="MS Mincho" w:hAnsi="Verdana" w:cs="Times New Roman"/>
                <w:b w:val="0"/>
                <w:i/>
                <w:sz w:val="18"/>
                <w:szCs w:val="18"/>
                <w:lang w:val="en-GB"/>
              </w:rPr>
              <w:t>disband an assembly if the exercise of the right of assembly constitutes a</w:t>
            </w:r>
          </w:p>
          <w:p w:rsidR="001406E9" w:rsidRPr="00731F68" w:rsidRDefault="001406E9" w:rsidP="00DD5F20">
            <w:pPr>
              <w:pStyle w:val="Listaszerbekezds"/>
              <w:jc w:val="both"/>
              <w:rPr>
                <w:rFonts w:ascii="Verdana" w:eastAsia="MS Mincho" w:hAnsi="Verdana" w:cs="Times New Roman"/>
                <w:b w:val="0"/>
                <w:i/>
                <w:sz w:val="18"/>
                <w:szCs w:val="18"/>
                <w:lang w:val="en-GB"/>
              </w:rPr>
            </w:pPr>
            <w:r w:rsidRPr="00731F68">
              <w:rPr>
                <w:rFonts w:ascii="Verdana" w:eastAsia="MS Mincho" w:hAnsi="Verdana" w:cs="Times New Roman"/>
                <w:b w:val="0"/>
                <w:i/>
                <w:sz w:val="18"/>
                <w:szCs w:val="18"/>
                <w:lang w:val="en-GB"/>
              </w:rPr>
              <w:t>criminal offence or a call to commit such an offence, or if it violates the</w:t>
            </w:r>
          </w:p>
          <w:p w:rsidR="001406E9" w:rsidRPr="00731F68" w:rsidRDefault="001406E9" w:rsidP="00DD5F20">
            <w:pPr>
              <w:pStyle w:val="Listaszerbekezds"/>
              <w:jc w:val="both"/>
              <w:rPr>
                <w:rFonts w:ascii="Verdana" w:eastAsia="MS Mincho" w:hAnsi="Verdana" w:cs="Times New Roman"/>
                <w:b w:val="0"/>
                <w:i/>
                <w:sz w:val="18"/>
                <w:szCs w:val="18"/>
                <w:lang w:val="en-GB"/>
              </w:rPr>
            </w:pPr>
            <w:r w:rsidRPr="00731F68">
              <w:rPr>
                <w:rFonts w:ascii="Verdana" w:eastAsia="MS Mincho" w:hAnsi="Verdana" w:cs="Times New Roman"/>
                <w:b w:val="0"/>
                <w:i/>
                <w:sz w:val="18"/>
                <w:szCs w:val="18"/>
                <w:lang w:val="en-GB"/>
              </w:rPr>
              <w:t>rights and freedoms of others, as demonstrated by the judgment of the</w:t>
            </w:r>
          </w:p>
          <w:p w:rsidR="001406E9" w:rsidRDefault="001406E9" w:rsidP="00DD5F20">
            <w:pPr>
              <w:pStyle w:val="Listaszerbekezds"/>
              <w:jc w:val="both"/>
              <w:rPr>
                <w:rFonts w:ascii="Verdana" w:eastAsia="MS Mincho" w:hAnsi="Verdana" w:cs="Times New Roman"/>
                <w:b w:val="0"/>
                <w:i/>
                <w:sz w:val="18"/>
                <w:szCs w:val="18"/>
                <w:lang w:val="en-GB"/>
              </w:rPr>
            </w:pPr>
            <w:r w:rsidRPr="00731F68">
              <w:rPr>
                <w:rFonts w:ascii="Verdana" w:eastAsia="MS Mincho" w:hAnsi="Verdana" w:cs="Times New Roman"/>
                <w:b w:val="0"/>
                <w:i/>
                <w:sz w:val="18"/>
                <w:szCs w:val="18"/>
                <w:lang w:val="en-GB"/>
              </w:rPr>
              <w:t>Constitutional Court (see paragraph 35 above).</w:t>
            </w:r>
          </w:p>
          <w:p w:rsidR="001406E9" w:rsidRDefault="001406E9" w:rsidP="00DD5F20">
            <w:pPr>
              <w:pStyle w:val="Listaszerbekezds"/>
              <w:jc w:val="both"/>
              <w:rPr>
                <w:rFonts w:ascii="Verdana" w:eastAsia="MS Mincho" w:hAnsi="Verdana" w:cs="Times New Roman"/>
                <w:b w:val="0"/>
                <w:i/>
                <w:sz w:val="18"/>
                <w:szCs w:val="18"/>
                <w:u w:val="single"/>
                <w:lang w:val="en-GB"/>
              </w:rPr>
            </w:pPr>
          </w:p>
          <w:p w:rsidR="001406E9" w:rsidRPr="004146E9" w:rsidRDefault="001406E9" w:rsidP="00DD5F20">
            <w:pPr>
              <w:pStyle w:val="Listaszerbekezds"/>
              <w:jc w:val="both"/>
              <w:rPr>
                <w:rFonts w:ascii="Verdana" w:eastAsia="MS Mincho" w:hAnsi="Verdana" w:cs="Times New Roman"/>
                <w:b w:val="0"/>
                <w:i/>
                <w:sz w:val="18"/>
                <w:szCs w:val="18"/>
              </w:rPr>
            </w:pPr>
            <w:r>
              <w:rPr>
                <w:rFonts w:ascii="Verdana" w:eastAsia="MS Mincho" w:hAnsi="Verdana" w:cs="Times New Roman"/>
                <w:b w:val="0"/>
                <w:i/>
                <w:sz w:val="18"/>
                <w:szCs w:val="18"/>
                <w:u w:val="single"/>
                <w:lang w:val="en-GB"/>
              </w:rPr>
              <w:t>Para. 77</w:t>
            </w:r>
            <w:r>
              <w:rPr>
                <w:rFonts w:ascii="Verdana" w:eastAsia="MS Mincho" w:hAnsi="Verdana" w:cs="Times New Roman"/>
                <w:b w:val="0"/>
                <w:i/>
                <w:sz w:val="18"/>
                <w:szCs w:val="18"/>
                <w:lang w:val="en-GB"/>
              </w:rPr>
              <w:t>:</w:t>
            </w:r>
            <w:r w:rsidRPr="004146E9">
              <w:rPr>
                <w:rFonts w:ascii="Verdana" w:eastAsia="MS Mincho" w:hAnsi="Verdana" w:cs="Times New Roman"/>
                <w:b w:val="0"/>
                <w:i/>
                <w:sz w:val="18"/>
                <w:szCs w:val="18"/>
              </w:rPr>
              <w:t>Moreover, the event was organised in a period when marches</w:t>
            </w:r>
          </w:p>
          <w:p w:rsidR="001406E9" w:rsidRPr="004146E9" w:rsidRDefault="001406E9" w:rsidP="00DD5F20">
            <w:pPr>
              <w:pStyle w:val="Listaszerbekezds"/>
              <w:jc w:val="both"/>
              <w:rPr>
                <w:rFonts w:ascii="Verdana" w:eastAsia="MS Mincho" w:hAnsi="Verdana" w:cs="Times New Roman"/>
                <w:b w:val="0"/>
                <w:i/>
                <w:sz w:val="18"/>
                <w:szCs w:val="18"/>
              </w:rPr>
            </w:pPr>
            <w:r w:rsidRPr="004146E9">
              <w:rPr>
                <w:rFonts w:ascii="Verdana" w:eastAsia="MS Mincho" w:hAnsi="Verdana" w:cs="Times New Roman"/>
                <w:b w:val="0"/>
                <w:i/>
                <w:sz w:val="18"/>
                <w:szCs w:val="18"/>
              </w:rPr>
              <w:t>involving large groups and targeting the Roma minority had taken place on</w:t>
            </w:r>
          </w:p>
          <w:p w:rsidR="001406E9" w:rsidRPr="004146E9" w:rsidRDefault="001406E9" w:rsidP="00DD5F20">
            <w:pPr>
              <w:pStyle w:val="Listaszerbekezds"/>
              <w:jc w:val="both"/>
              <w:rPr>
                <w:rFonts w:ascii="Verdana" w:eastAsia="MS Mincho" w:hAnsi="Verdana" w:cs="Times New Roman"/>
                <w:b w:val="0"/>
                <w:i/>
                <w:sz w:val="18"/>
                <w:szCs w:val="18"/>
              </w:rPr>
            </w:pPr>
            <w:r w:rsidRPr="004146E9">
              <w:rPr>
                <w:rFonts w:ascii="Verdana" w:eastAsia="MS Mincho" w:hAnsi="Verdana" w:cs="Times New Roman"/>
                <w:b w:val="0"/>
                <w:i/>
                <w:sz w:val="18"/>
                <w:szCs w:val="18"/>
              </w:rPr>
              <w:t>a scale that could qualify as “large-scale, coordinated intimidation” (see</w:t>
            </w:r>
          </w:p>
          <w:p w:rsidR="001406E9" w:rsidRPr="004146E9" w:rsidRDefault="001406E9" w:rsidP="00DD5F20">
            <w:pPr>
              <w:pStyle w:val="Listaszerbekezds"/>
              <w:jc w:val="both"/>
              <w:rPr>
                <w:rFonts w:ascii="Verdana" w:eastAsia="MS Mincho" w:hAnsi="Verdana" w:cs="Times New Roman"/>
                <w:b w:val="0"/>
                <w:i/>
                <w:sz w:val="18"/>
                <w:szCs w:val="18"/>
              </w:rPr>
            </w:pPr>
            <w:r w:rsidRPr="004146E9">
              <w:rPr>
                <w:rFonts w:ascii="Verdana" w:eastAsia="MS Mincho" w:hAnsi="Verdana" w:cs="Times New Roman"/>
                <w:b w:val="0"/>
                <w:i/>
                <w:sz w:val="18"/>
                <w:szCs w:val="18"/>
              </w:rPr>
              <w:t>Vona, cited above, § 69).</w:t>
            </w:r>
          </w:p>
          <w:p w:rsidR="001406E9" w:rsidRDefault="001406E9" w:rsidP="00DD5F20">
            <w:pPr>
              <w:pStyle w:val="Listaszerbekezds"/>
              <w:jc w:val="both"/>
              <w:rPr>
                <w:rFonts w:ascii="Verdana" w:eastAsia="MS Mincho" w:hAnsi="Verdana" w:cs="Times New Roman"/>
                <w:b w:val="0"/>
                <w:i/>
                <w:sz w:val="18"/>
                <w:szCs w:val="18"/>
                <w:u w:val="single"/>
              </w:rPr>
            </w:pPr>
          </w:p>
          <w:p w:rsidR="001406E9" w:rsidRPr="004146E9" w:rsidRDefault="001406E9" w:rsidP="00DD5F20">
            <w:pPr>
              <w:pStyle w:val="Listaszerbekezds"/>
              <w:jc w:val="both"/>
              <w:rPr>
                <w:rFonts w:ascii="Verdana" w:eastAsia="MS Mincho" w:hAnsi="Verdana" w:cs="Times New Roman"/>
                <w:b w:val="0"/>
                <w:i/>
                <w:sz w:val="18"/>
                <w:szCs w:val="18"/>
              </w:rPr>
            </w:pPr>
            <w:r w:rsidRPr="004146E9">
              <w:rPr>
                <w:rFonts w:ascii="Verdana" w:eastAsia="MS Mincho" w:hAnsi="Verdana" w:cs="Times New Roman"/>
                <w:b w:val="0"/>
                <w:i/>
                <w:sz w:val="18"/>
                <w:szCs w:val="18"/>
                <w:u w:val="single"/>
              </w:rPr>
              <w:t>Para. 78</w:t>
            </w:r>
            <w:r w:rsidRPr="004146E9">
              <w:rPr>
                <w:rFonts w:ascii="Verdana" w:eastAsia="MS Mincho" w:hAnsi="Verdana" w:cs="Times New Roman"/>
                <w:b w:val="0"/>
                <w:i/>
                <w:sz w:val="18"/>
                <w:szCs w:val="18"/>
              </w:rPr>
              <w:t>: For the Court, these were relevant factors that should have been</w:t>
            </w:r>
          </w:p>
          <w:p w:rsidR="001406E9" w:rsidRPr="004146E9" w:rsidRDefault="001406E9" w:rsidP="00DD5F20">
            <w:pPr>
              <w:pStyle w:val="Listaszerbekezds"/>
              <w:jc w:val="both"/>
              <w:rPr>
                <w:rFonts w:ascii="Verdana" w:eastAsia="MS Mincho" w:hAnsi="Verdana" w:cs="Times New Roman"/>
                <w:b w:val="0"/>
                <w:i/>
                <w:sz w:val="18"/>
                <w:szCs w:val="18"/>
              </w:rPr>
            </w:pPr>
            <w:r w:rsidRPr="004146E9">
              <w:rPr>
                <w:rFonts w:ascii="Verdana" w:eastAsia="MS Mincho" w:hAnsi="Verdana" w:cs="Times New Roman"/>
                <w:b w:val="0"/>
                <w:i/>
                <w:sz w:val="18"/>
                <w:szCs w:val="18"/>
              </w:rPr>
              <w:t>taken into consideration when assessing the nature of the speeches. This is</w:t>
            </w:r>
          </w:p>
          <w:p w:rsidR="001406E9" w:rsidRPr="004146E9" w:rsidRDefault="001406E9" w:rsidP="00DD5F20">
            <w:pPr>
              <w:pStyle w:val="Listaszerbekezds"/>
              <w:jc w:val="both"/>
              <w:rPr>
                <w:rFonts w:ascii="Verdana" w:eastAsia="MS Mincho" w:hAnsi="Verdana" w:cs="Times New Roman"/>
                <w:b w:val="0"/>
                <w:i/>
                <w:sz w:val="18"/>
                <w:szCs w:val="18"/>
              </w:rPr>
            </w:pPr>
            <w:r w:rsidRPr="004146E9">
              <w:rPr>
                <w:rFonts w:ascii="Verdana" w:eastAsia="MS Mincho" w:hAnsi="Verdana" w:cs="Times New Roman"/>
                <w:b w:val="0"/>
                <w:i/>
                <w:sz w:val="18"/>
                <w:szCs w:val="18"/>
              </w:rPr>
              <w:t>all the more so that according to the domestic courts’ case-law, racist</w:t>
            </w:r>
          </w:p>
          <w:p w:rsidR="001406E9" w:rsidRPr="004146E9" w:rsidRDefault="001406E9" w:rsidP="00DD5F20">
            <w:pPr>
              <w:pStyle w:val="Listaszerbekezds"/>
              <w:jc w:val="both"/>
              <w:rPr>
                <w:rFonts w:ascii="Verdana" w:eastAsia="MS Mincho" w:hAnsi="Verdana" w:cs="Times New Roman"/>
                <w:b w:val="0"/>
                <w:i/>
                <w:sz w:val="18"/>
                <w:szCs w:val="18"/>
              </w:rPr>
            </w:pPr>
            <w:r w:rsidRPr="004146E9">
              <w:rPr>
                <w:rFonts w:ascii="Verdana" w:eastAsia="MS Mincho" w:hAnsi="Verdana" w:cs="Times New Roman"/>
                <w:b w:val="0"/>
                <w:i/>
                <w:sz w:val="18"/>
                <w:szCs w:val="18"/>
              </w:rPr>
              <w:t>statements together with the context in which they were expressed could</w:t>
            </w:r>
          </w:p>
          <w:p w:rsidR="001406E9" w:rsidRPr="004146E9" w:rsidRDefault="001406E9" w:rsidP="00DD5F20">
            <w:pPr>
              <w:pStyle w:val="Listaszerbekezds"/>
              <w:jc w:val="both"/>
              <w:rPr>
                <w:rFonts w:ascii="Verdana" w:eastAsia="MS Mincho" w:hAnsi="Verdana" w:cs="Times New Roman"/>
                <w:b w:val="0"/>
                <w:i/>
                <w:sz w:val="18"/>
                <w:szCs w:val="18"/>
              </w:rPr>
            </w:pPr>
            <w:r w:rsidRPr="004146E9">
              <w:rPr>
                <w:rFonts w:ascii="Verdana" w:eastAsia="MS Mincho" w:hAnsi="Verdana" w:cs="Times New Roman"/>
                <w:b w:val="0"/>
                <w:i/>
                <w:sz w:val="18"/>
                <w:szCs w:val="18"/>
              </w:rPr>
              <w:t>constitute a clear and imminent risk of violence and violation of the rights</w:t>
            </w:r>
          </w:p>
          <w:p w:rsidR="001406E9" w:rsidRPr="004146E9" w:rsidRDefault="001406E9" w:rsidP="00DD5F20">
            <w:pPr>
              <w:pStyle w:val="Listaszerbekezds"/>
              <w:jc w:val="both"/>
              <w:rPr>
                <w:rFonts w:ascii="Verdana" w:eastAsia="MS Mincho" w:hAnsi="Verdana" w:cs="Times New Roman"/>
                <w:b w:val="0"/>
                <w:i/>
                <w:sz w:val="18"/>
                <w:szCs w:val="18"/>
              </w:rPr>
            </w:pPr>
            <w:r w:rsidRPr="004146E9">
              <w:rPr>
                <w:rFonts w:ascii="Verdana" w:eastAsia="MS Mincho" w:hAnsi="Verdana" w:cs="Times New Roman"/>
                <w:b w:val="0"/>
                <w:i/>
                <w:sz w:val="18"/>
                <w:szCs w:val="18"/>
              </w:rPr>
              <w:t>of others (see paragraph 36 above). However, it appears that the</w:t>
            </w:r>
          </w:p>
          <w:p w:rsidR="001406E9" w:rsidRPr="004146E9" w:rsidRDefault="001406E9" w:rsidP="00DD5F20">
            <w:pPr>
              <w:pStyle w:val="Listaszerbekezds"/>
              <w:jc w:val="both"/>
              <w:rPr>
                <w:rFonts w:ascii="Verdana" w:eastAsia="MS Mincho" w:hAnsi="Verdana" w:cs="Times New Roman"/>
                <w:b w:val="0"/>
                <w:i/>
                <w:sz w:val="18"/>
                <w:szCs w:val="18"/>
              </w:rPr>
            </w:pPr>
            <w:r w:rsidRPr="004146E9">
              <w:rPr>
                <w:rFonts w:ascii="Verdana" w:eastAsia="MS Mincho" w:hAnsi="Verdana" w:cs="Times New Roman"/>
                <w:b w:val="0"/>
                <w:i/>
                <w:sz w:val="18"/>
                <w:szCs w:val="18"/>
              </w:rPr>
              <w:t>investigating authorities paid no heed to those elements when concluding</w:t>
            </w:r>
          </w:p>
          <w:p w:rsidR="001406E9" w:rsidRPr="004146E9" w:rsidRDefault="001406E9" w:rsidP="00DD5F20">
            <w:pPr>
              <w:pStyle w:val="Listaszerbekezds"/>
              <w:jc w:val="both"/>
              <w:rPr>
                <w:rFonts w:ascii="Verdana" w:eastAsia="MS Mincho" w:hAnsi="Verdana" w:cs="Times New Roman"/>
                <w:b w:val="0"/>
                <w:i/>
                <w:sz w:val="18"/>
                <w:szCs w:val="18"/>
              </w:rPr>
            </w:pPr>
            <w:r w:rsidRPr="004146E9">
              <w:rPr>
                <w:rFonts w:ascii="Verdana" w:eastAsia="MS Mincho" w:hAnsi="Verdana" w:cs="Times New Roman"/>
                <w:b w:val="0"/>
                <w:i/>
                <w:sz w:val="18"/>
                <w:szCs w:val="18"/>
              </w:rPr>
              <w:t>that the statements had been hateful and abusive but that they had not</w:t>
            </w:r>
          </w:p>
          <w:p w:rsidR="001406E9" w:rsidRPr="004146E9" w:rsidRDefault="001406E9" w:rsidP="00DD5F20">
            <w:pPr>
              <w:pStyle w:val="Listaszerbekezds"/>
              <w:jc w:val="both"/>
              <w:rPr>
                <w:rFonts w:ascii="Verdana" w:eastAsia="MS Mincho" w:hAnsi="Verdana" w:cs="Times New Roman"/>
                <w:b w:val="0"/>
                <w:i/>
                <w:sz w:val="18"/>
                <w:szCs w:val="18"/>
              </w:rPr>
            </w:pPr>
            <w:r w:rsidRPr="004146E9">
              <w:rPr>
                <w:rFonts w:ascii="Verdana" w:eastAsia="MS Mincho" w:hAnsi="Verdana" w:cs="Times New Roman"/>
                <w:b w:val="0"/>
                <w:i/>
                <w:sz w:val="18"/>
                <w:szCs w:val="18"/>
              </w:rPr>
              <w:t>incited violence. Thus, the domestic authorities inexplicably narrowed down</w:t>
            </w:r>
          </w:p>
          <w:p w:rsidR="001406E9" w:rsidRPr="004146E9" w:rsidRDefault="001406E9" w:rsidP="00DD5F20">
            <w:pPr>
              <w:pStyle w:val="Listaszerbekezds"/>
              <w:jc w:val="both"/>
              <w:rPr>
                <w:rFonts w:ascii="Verdana" w:eastAsia="MS Mincho" w:hAnsi="Verdana" w:cs="Times New Roman"/>
                <w:b w:val="0"/>
                <w:i/>
                <w:sz w:val="18"/>
                <w:szCs w:val="18"/>
              </w:rPr>
            </w:pPr>
            <w:r w:rsidRPr="004146E9">
              <w:rPr>
                <w:rFonts w:ascii="Verdana" w:eastAsia="MS Mincho" w:hAnsi="Verdana" w:cs="Times New Roman"/>
                <w:b w:val="0"/>
                <w:i/>
                <w:sz w:val="18"/>
                <w:szCs w:val="18"/>
              </w:rPr>
              <w:t>the scope of their investigations.</w:t>
            </w:r>
          </w:p>
          <w:p w:rsidR="001406E9" w:rsidRDefault="001406E9" w:rsidP="00DD5F20">
            <w:pPr>
              <w:pStyle w:val="Listaszerbekezds"/>
              <w:jc w:val="both"/>
              <w:rPr>
                <w:rFonts w:ascii="Verdana" w:eastAsia="MS Mincho" w:hAnsi="Verdana" w:cs="Times New Roman"/>
                <w:b w:val="0"/>
                <w:i/>
                <w:sz w:val="18"/>
                <w:szCs w:val="18"/>
                <w:u w:val="single"/>
              </w:rPr>
            </w:pPr>
          </w:p>
          <w:p w:rsidR="001406E9" w:rsidRPr="00731F68" w:rsidRDefault="001406E9" w:rsidP="00DD5F20">
            <w:pPr>
              <w:pStyle w:val="Listaszerbekezds"/>
              <w:jc w:val="both"/>
              <w:rPr>
                <w:rFonts w:ascii="Verdana" w:eastAsia="MS Mincho" w:hAnsi="Verdana" w:cs="Times New Roman"/>
                <w:b w:val="0"/>
                <w:i/>
                <w:sz w:val="18"/>
                <w:szCs w:val="18"/>
              </w:rPr>
            </w:pPr>
            <w:r>
              <w:rPr>
                <w:rFonts w:ascii="Verdana" w:eastAsia="MS Mincho" w:hAnsi="Verdana" w:cs="Times New Roman"/>
                <w:b w:val="0"/>
                <w:i/>
                <w:sz w:val="18"/>
                <w:szCs w:val="18"/>
                <w:u w:val="single"/>
              </w:rPr>
              <w:t>Para. 79</w:t>
            </w:r>
            <w:r>
              <w:rPr>
                <w:rFonts w:ascii="Verdana" w:eastAsia="MS Mincho" w:hAnsi="Verdana" w:cs="Times New Roman"/>
                <w:b w:val="0"/>
                <w:i/>
                <w:sz w:val="18"/>
                <w:szCs w:val="18"/>
              </w:rPr>
              <w:t>:</w:t>
            </w:r>
            <w:r w:rsidRPr="00731F68">
              <w:rPr>
                <w:rFonts w:ascii="Verdana" w:eastAsia="MS Mincho" w:hAnsi="Verdana" w:cs="Times New Roman"/>
                <w:b w:val="0"/>
                <w:i/>
                <w:sz w:val="18"/>
                <w:szCs w:val="18"/>
              </w:rPr>
              <w:t xml:space="preserve"> As regards the criminal investigations into the offence of violence</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against a member of a group, the Court recalls that for an “investigation to</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be regarded as ‘effective’, it should in principle be capable of leading to the</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establishment of the facts of the case and to the identification and</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punishment of those responsible. This is not an obligation of result, but one</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of means” (see, albeit in the context of Article 3, Identoba and Others</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v. Georgia, no. 73235/12, § 66, 12 May 2015). In the present case, these</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proceedings lasted almost three years; and their scope was statutorily bound</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to be limited to the actual acts of violence. The authorities eventually</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identified one incident liable to prosecution; the perpetrator was prosecuted</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for, and charged with, violence against a member of a group and convicted</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of that offence. Although the police had had sufficient time to prepare</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themselves for the event and should have been able to interrogate numerous</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persons after the incident (see paragraph 17 above), only five demonstrators</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were questioned; and three of the alleged perpetrators could not be</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identified. For the lack of any other elements possibly falling within thehypothesis of the offence in question, the police were not in a position to</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extend the scope of the prosecution to any other protagonists. In these</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circumstances, the Court finds that this course of action in itself was not</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“capable of leading to the establishment of the facts of the case” and did not</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constitute a sufficient response to the true and complex nature of the</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situation complained of.</w:t>
            </w:r>
          </w:p>
          <w:p w:rsidR="001406E9" w:rsidRDefault="001406E9" w:rsidP="00DD5F20">
            <w:pPr>
              <w:pStyle w:val="Listaszerbekezds"/>
              <w:jc w:val="both"/>
              <w:rPr>
                <w:rFonts w:ascii="Verdana" w:eastAsia="MS Mincho" w:hAnsi="Verdana" w:cs="Times New Roman"/>
                <w:b w:val="0"/>
                <w:i/>
                <w:sz w:val="18"/>
                <w:szCs w:val="18"/>
                <w:u w:val="single"/>
              </w:rPr>
            </w:pPr>
          </w:p>
          <w:p w:rsidR="001406E9" w:rsidRPr="00731F68" w:rsidRDefault="001406E9" w:rsidP="00DD5F20">
            <w:pPr>
              <w:pStyle w:val="Listaszerbekezds"/>
              <w:jc w:val="both"/>
              <w:rPr>
                <w:rFonts w:ascii="Verdana" w:eastAsia="MS Mincho" w:hAnsi="Verdana" w:cs="Times New Roman"/>
                <w:b w:val="0"/>
                <w:i/>
                <w:sz w:val="18"/>
                <w:szCs w:val="18"/>
              </w:rPr>
            </w:pPr>
            <w:r>
              <w:rPr>
                <w:rFonts w:ascii="Verdana" w:eastAsia="MS Mincho" w:hAnsi="Verdana" w:cs="Times New Roman"/>
                <w:b w:val="0"/>
                <w:i/>
                <w:sz w:val="18"/>
                <w:szCs w:val="18"/>
                <w:u w:val="single"/>
              </w:rPr>
              <w:t>Para. 80</w:t>
            </w:r>
            <w:r>
              <w:rPr>
                <w:rFonts w:ascii="Verdana" w:eastAsia="MS Mincho" w:hAnsi="Verdana" w:cs="Times New Roman"/>
                <w:b w:val="0"/>
                <w:i/>
                <w:sz w:val="18"/>
                <w:szCs w:val="18"/>
              </w:rPr>
              <w:t>:</w:t>
            </w:r>
            <w:r w:rsidRPr="00731F68">
              <w:rPr>
                <w:rFonts w:ascii="Verdana" w:eastAsia="MS Mincho" w:hAnsi="Verdana" w:cs="Times New Roman"/>
                <w:b w:val="0"/>
                <w:i/>
                <w:sz w:val="18"/>
                <w:szCs w:val="18"/>
              </w:rPr>
              <w:t xml:space="preserve"> The cumulative effect of those shortcomings in the investigations,</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especially the lack of a comprehensive law enforcement approach into the</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events, was that an openly racist demonstration, with sporadic acts of</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violence (see paragraphs 11-12 and 25-26 above) remained virtually without</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legal consequences and the applicants were not provided with the required</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protection of their right to psychological integrity. They could not benefit of</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the implementation of a legal framework affording effective protection</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against an openly anti-Roma demonstration, the aim of which was no less</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than the organised intimidation of the Roma community, including the</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applicants, by means of a paramilitary parade, verbal threats and speeches</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advocating a policy of racial segregation. The Court is concerned that the</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general public might have perceived such practice as legitimisation and/or</w:t>
            </w:r>
          </w:p>
          <w:p w:rsidR="001406E9" w:rsidRPr="00731F68" w:rsidRDefault="001406E9" w:rsidP="00DD5F20">
            <w:pPr>
              <w:pStyle w:val="Listaszerbekezds"/>
              <w:jc w:val="both"/>
              <w:rPr>
                <w:rFonts w:ascii="Verdana" w:eastAsia="MS Mincho" w:hAnsi="Verdana" w:cs="Times New Roman"/>
                <w:b w:val="0"/>
                <w:i/>
                <w:sz w:val="18"/>
                <w:szCs w:val="18"/>
              </w:rPr>
            </w:pPr>
            <w:r w:rsidRPr="00731F68">
              <w:rPr>
                <w:rFonts w:ascii="Verdana" w:eastAsia="MS Mincho" w:hAnsi="Verdana" w:cs="Times New Roman"/>
                <w:b w:val="0"/>
                <w:i/>
                <w:sz w:val="18"/>
                <w:szCs w:val="18"/>
              </w:rPr>
              <w:t>tolerance of such events by the State.</w:t>
            </w:r>
          </w:p>
        </w:tc>
      </w:tr>
    </w:tbl>
    <w:p w:rsidR="004435C2" w:rsidRDefault="004435C2" w:rsidP="004435C2">
      <w:pPr>
        <w:jc w:val="both"/>
        <w:rPr>
          <w:rStyle w:val="Finomkiemels"/>
          <w:rFonts w:ascii="Times New Roman" w:hAnsi="Times New Roman" w:cs="Times New Roman"/>
          <w:i w:val="0"/>
          <w:szCs w:val="24"/>
          <w:lang w:val="en-GB"/>
        </w:rPr>
      </w:pPr>
    </w:p>
    <w:p w:rsidR="00401E38" w:rsidRDefault="00401E38" w:rsidP="004435C2">
      <w:pPr>
        <w:jc w:val="both"/>
        <w:rPr>
          <w:rStyle w:val="Finomkiemels"/>
          <w:rFonts w:ascii="Times New Roman" w:hAnsi="Times New Roman" w:cs="Times New Roman"/>
          <w:i w:val="0"/>
          <w:szCs w:val="24"/>
          <w:lang w:val="en-GB"/>
        </w:rPr>
      </w:pPr>
    </w:p>
    <w:p w:rsidR="00401E38" w:rsidRDefault="00401E38" w:rsidP="004435C2">
      <w:pPr>
        <w:jc w:val="both"/>
        <w:rPr>
          <w:rStyle w:val="Finomkiemels"/>
          <w:rFonts w:ascii="Times New Roman" w:hAnsi="Times New Roman" w:cs="Times New Roman"/>
          <w:i w:val="0"/>
          <w:szCs w:val="24"/>
          <w:lang w:val="en-GB"/>
        </w:rPr>
      </w:pPr>
    </w:p>
    <w:p w:rsidR="00401E38" w:rsidRPr="001406E9" w:rsidRDefault="00401E38" w:rsidP="004435C2">
      <w:pPr>
        <w:jc w:val="both"/>
        <w:rPr>
          <w:rStyle w:val="Finomkiemels"/>
          <w:rFonts w:ascii="Times New Roman" w:hAnsi="Times New Roman" w:cs="Times New Roman"/>
          <w:i w:val="0"/>
          <w:szCs w:val="24"/>
          <w:lang w:val="en-GB"/>
        </w:rPr>
      </w:pPr>
    </w:p>
    <w:p w:rsidR="004435C2" w:rsidRDefault="004435C2" w:rsidP="004435C2">
      <w:pPr>
        <w:pStyle w:val="Cmsor2"/>
        <w:rPr>
          <w:rStyle w:val="Finomkiemels"/>
          <w:rFonts w:ascii="Times New Roman" w:hAnsi="Times New Roman" w:cs="Times New Roman"/>
          <w:i w:val="0"/>
          <w:color w:val="auto"/>
          <w:szCs w:val="24"/>
          <w:lang w:val="en-US"/>
        </w:rPr>
      </w:pPr>
      <w:bookmarkStart w:id="8" w:name="_Toc490844998"/>
      <w:r>
        <w:rPr>
          <w:lang w:val="en-US" w:eastAsia="en-US"/>
        </w:rPr>
        <w:lastRenderedPageBreak/>
        <w:t>3</w:t>
      </w:r>
      <w:r w:rsidRPr="00FF6F2C">
        <w:rPr>
          <w:lang w:val="en-US" w:eastAsia="en-US"/>
        </w:rPr>
        <w:t>.</w:t>
      </w:r>
      <w:r>
        <w:rPr>
          <w:lang w:val="en-US" w:eastAsia="en-US"/>
        </w:rPr>
        <w:t>1</w:t>
      </w:r>
      <w:r w:rsidR="00401E38">
        <w:rPr>
          <w:lang w:val="en-US" w:eastAsia="en-US"/>
        </w:rPr>
        <w:t>Obligations</w:t>
      </w:r>
      <w:bookmarkEnd w:id="8"/>
    </w:p>
    <w:p w:rsidR="001406E9" w:rsidRDefault="001406E9" w:rsidP="001406E9">
      <w:pPr>
        <w:ind w:left="720"/>
        <w:jc w:val="both"/>
        <w:rPr>
          <w:rFonts w:ascii="Times New Roman" w:hAnsi="Times New Roman" w:cs="Times New Roman"/>
          <w:iCs/>
          <w:szCs w:val="24"/>
          <w:lang w:val="hu-HU"/>
        </w:rPr>
      </w:pPr>
    </w:p>
    <w:p w:rsidR="001406E9" w:rsidRPr="001406E9" w:rsidRDefault="001406E9" w:rsidP="001406E9">
      <w:pPr>
        <w:jc w:val="both"/>
        <w:rPr>
          <w:rFonts w:ascii="Times New Roman" w:hAnsi="Times New Roman" w:cs="Times New Roman"/>
          <w:iCs/>
          <w:szCs w:val="24"/>
          <w:u w:val="single"/>
          <w:lang w:val="hu-HU"/>
        </w:rPr>
      </w:pPr>
      <w:r w:rsidRPr="001406E9">
        <w:rPr>
          <w:rFonts w:ascii="Times New Roman" w:hAnsi="Times New Roman" w:cs="Times New Roman"/>
          <w:iCs/>
          <w:szCs w:val="24"/>
          <w:u w:val="single"/>
          <w:lang w:val="hu-HU"/>
        </w:rPr>
        <w:t>Duty to conduct efficient investigation and expeditious proceeding:</w:t>
      </w:r>
    </w:p>
    <w:p w:rsidR="001406E9" w:rsidRPr="001406E9" w:rsidRDefault="001406E9" w:rsidP="001406E9">
      <w:pPr>
        <w:pStyle w:val="Listaszerbekezds"/>
        <w:numPr>
          <w:ilvl w:val="0"/>
          <w:numId w:val="12"/>
        </w:numPr>
        <w:rPr>
          <w:rFonts w:ascii="Times New Roman" w:hAnsi="Times New Roman" w:cs="Times New Roman"/>
          <w:iCs/>
          <w:szCs w:val="24"/>
          <w:lang w:val="hu-HU"/>
        </w:rPr>
      </w:pPr>
      <w:r w:rsidRPr="001406E9">
        <w:rPr>
          <w:rFonts w:ascii="Times New Roman" w:hAnsi="Times New Roman" w:cs="Times New Roman"/>
          <w:iCs/>
          <w:szCs w:val="24"/>
          <w:lang w:val="hu-HU"/>
        </w:rPr>
        <w:t>Nachova et al v. Bulgaria</w:t>
      </w:r>
      <w:hyperlink r:id="rId15" w:history="1">
        <w:r w:rsidR="00401E38" w:rsidRPr="00401E38">
          <w:rPr>
            <w:rStyle w:val="Hiperhivatkozs"/>
            <w:rFonts w:ascii="Times New Roman" w:hAnsi="Times New Roman" w:cs="Times New Roman"/>
            <w:iCs/>
            <w:szCs w:val="24"/>
            <w:lang w:val="en-US"/>
          </w:rPr>
          <w:t>link</w:t>
        </w:r>
      </w:hyperlink>
    </w:p>
    <w:p w:rsidR="001406E9" w:rsidRPr="008541CA" w:rsidRDefault="001406E9" w:rsidP="001406E9">
      <w:pPr>
        <w:pStyle w:val="Listaszerbekezds"/>
        <w:numPr>
          <w:ilvl w:val="0"/>
          <w:numId w:val="12"/>
        </w:numPr>
        <w:rPr>
          <w:rFonts w:ascii="Times New Roman" w:hAnsi="Times New Roman" w:cs="Times New Roman"/>
          <w:iCs/>
          <w:szCs w:val="24"/>
          <w:lang w:val="hu-HU"/>
        </w:rPr>
      </w:pPr>
      <w:r w:rsidRPr="001406E9">
        <w:rPr>
          <w:rFonts w:ascii="Times New Roman" w:hAnsi="Times New Roman" w:cs="Times New Roman"/>
          <w:iCs/>
          <w:szCs w:val="24"/>
          <w:lang w:val="hu-HU"/>
        </w:rPr>
        <w:t>Király and Dömötör v Hungary</w:t>
      </w:r>
      <w:hyperlink r:id="rId16" w:history="1">
        <w:r w:rsidR="008541CA" w:rsidRPr="008541CA">
          <w:rPr>
            <w:rStyle w:val="Hiperhivatkozs"/>
            <w:rFonts w:ascii="Times New Roman" w:hAnsi="Times New Roman" w:cs="Times New Roman"/>
            <w:iCs/>
            <w:szCs w:val="24"/>
            <w:lang w:val="en-GB"/>
          </w:rPr>
          <w:t>link</w:t>
        </w:r>
      </w:hyperlink>
    </w:p>
    <w:p w:rsidR="001406E9" w:rsidRDefault="001406E9" w:rsidP="001406E9">
      <w:pPr>
        <w:jc w:val="both"/>
        <w:rPr>
          <w:rFonts w:ascii="Times New Roman" w:hAnsi="Times New Roman" w:cs="Times New Roman"/>
          <w:iCs/>
          <w:szCs w:val="24"/>
          <w:lang w:val="hu-HU"/>
        </w:rPr>
      </w:pPr>
    </w:p>
    <w:p w:rsidR="001406E9" w:rsidRPr="001406E9" w:rsidRDefault="001406E9" w:rsidP="001406E9">
      <w:pPr>
        <w:jc w:val="both"/>
        <w:rPr>
          <w:rFonts w:ascii="Times New Roman" w:hAnsi="Times New Roman" w:cs="Times New Roman"/>
          <w:iCs/>
          <w:szCs w:val="24"/>
          <w:u w:val="single"/>
          <w:lang w:val="hu-HU"/>
        </w:rPr>
      </w:pPr>
      <w:r w:rsidRPr="001406E9">
        <w:rPr>
          <w:rFonts w:ascii="Times New Roman" w:hAnsi="Times New Roman" w:cs="Times New Roman"/>
          <w:iCs/>
          <w:szCs w:val="24"/>
          <w:u w:val="single"/>
          <w:lang w:val="hu-HU"/>
        </w:rPr>
        <w:t>Impartial assessment of evidence</w:t>
      </w:r>
      <w:r>
        <w:rPr>
          <w:rFonts w:ascii="Times New Roman" w:hAnsi="Times New Roman" w:cs="Times New Roman"/>
          <w:iCs/>
          <w:szCs w:val="24"/>
          <w:u w:val="single"/>
          <w:lang w:val="hu-HU"/>
        </w:rPr>
        <w:t>:</w:t>
      </w:r>
    </w:p>
    <w:p w:rsidR="001406E9" w:rsidRDefault="001406E9" w:rsidP="001406E9">
      <w:pPr>
        <w:pStyle w:val="Listaszerbekezds"/>
        <w:numPr>
          <w:ilvl w:val="0"/>
          <w:numId w:val="13"/>
        </w:numPr>
        <w:jc w:val="both"/>
        <w:rPr>
          <w:rFonts w:ascii="Times New Roman" w:hAnsi="Times New Roman" w:cs="Times New Roman"/>
          <w:iCs/>
          <w:szCs w:val="24"/>
          <w:lang w:val="hu-HU"/>
        </w:rPr>
      </w:pPr>
      <w:r w:rsidRPr="001406E9">
        <w:rPr>
          <w:rFonts w:ascii="Times New Roman" w:hAnsi="Times New Roman" w:cs="Times New Roman"/>
          <w:iCs/>
          <w:szCs w:val="24"/>
          <w:lang w:val="hu-HU"/>
        </w:rPr>
        <w:t xml:space="preserve">Stoica v Romania </w:t>
      </w:r>
      <w:hyperlink r:id="rId17" w:history="1">
        <w:r w:rsidR="00401E38" w:rsidRPr="00401E38">
          <w:rPr>
            <w:rStyle w:val="Hiperhivatkozs"/>
            <w:rFonts w:ascii="Times New Roman" w:hAnsi="Times New Roman" w:cs="Times New Roman"/>
            <w:iCs/>
            <w:szCs w:val="24"/>
            <w:lang w:val="en-US"/>
          </w:rPr>
          <w:t>link</w:t>
        </w:r>
      </w:hyperlink>
    </w:p>
    <w:p w:rsidR="001406E9" w:rsidRPr="00401E38" w:rsidRDefault="001406E9" w:rsidP="00401E38">
      <w:pPr>
        <w:pStyle w:val="Listaszerbekezds"/>
        <w:numPr>
          <w:ilvl w:val="0"/>
          <w:numId w:val="13"/>
        </w:numPr>
        <w:rPr>
          <w:rFonts w:ascii="Times New Roman" w:hAnsi="Times New Roman" w:cs="Times New Roman"/>
          <w:iCs/>
          <w:szCs w:val="24"/>
          <w:lang w:val="en-US"/>
        </w:rPr>
      </w:pPr>
      <w:r w:rsidRPr="001406E9">
        <w:rPr>
          <w:rFonts w:ascii="Times New Roman" w:hAnsi="Times New Roman" w:cs="Times New Roman"/>
          <w:iCs/>
          <w:szCs w:val="24"/>
          <w:lang w:val="hu-HU"/>
        </w:rPr>
        <w:t>Milanovic v Serbia</w:t>
      </w:r>
      <w:hyperlink r:id="rId18" w:history="1">
        <w:r w:rsidR="00401E38" w:rsidRPr="00401E38">
          <w:rPr>
            <w:rStyle w:val="Hiperhivatkozs"/>
            <w:rFonts w:ascii="Times New Roman" w:hAnsi="Times New Roman" w:cs="Times New Roman"/>
            <w:iCs/>
            <w:szCs w:val="24"/>
            <w:lang w:val="en-US"/>
          </w:rPr>
          <w:t>link</w:t>
        </w:r>
      </w:hyperlink>
    </w:p>
    <w:p w:rsidR="00401E38" w:rsidRDefault="00401E38" w:rsidP="004435C2">
      <w:pPr>
        <w:jc w:val="both"/>
        <w:rPr>
          <w:rFonts w:ascii="Times New Roman" w:hAnsi="Times New Roman" w:cs="Times New Roman"/>
          <w:iCs/>
          <w:szCs w:val="24"/>
          <w:lang w:val="hu-HU"/>
        </w:rPr>
      </w:pPr>
    </w:p>
    <w:p w:rsidR="001406E9" w:rsidRPr="00401E38" w:rsidRDefault="00401E38" w:rsidP="004435C2">
      <w:pPr>
        <w:jc w:val="both"/>
        <w:rPr>
          <w:rFonts w:ascii="Times New Roman" w:hAnsi="Times New Roman" w:cs="Times New Roman"/>
          <w:iCs/>
          <w:szCs w:val="24"/>
          <w:u w:val="single"/>
          <w:lang w:val="hu-HU"/>
        </w:rPr>
      </w:pPr>
      <w:r w:rsidRPr="00401E38">
        <w:rPr>
          <w:rFonts w:ascii="Times New Roman" w:hAnsi="Times New Roman" w:cs="Times New Roman"/>
          <w:iCs/>
          <w:szCs w:val="24"/>
          <w:u w:val="single"/>
          <w:lang w:val="hu-HU"/>
        </w:rPr>
        <w:t>Obligation to unmask bias motivation</w:t>
      </w:r>
      <w:r>
        <w:rPr>
          <w:rFonts w:ascii="Times New Roman" w:hAnsi="Times New Roman" w:cs="Times New Roman"/>
          <w:iCs/>
          <w:szCs w:val="24"/>
          <w:u w:val="single"/>
          <w:lang w:val="hu-HU"/>
        </w:rPr>
        <w:t>:</w:t>
      </w:r>
    </w:p>
    <w:p w:rsidR="00401E38" w:rsidRPr="00401E38" w:rsidRDefault="00401E38" w:rsidP="00401E38">
      <w:pPr>
        <w:pStyle w:val="Listaszerbekezds"/>
        <w:numPr>
          <w:ilvl w:val="0"/>
          <w:numId w:val="15"/>
        </w:numPr>
        <w:jc w:val="both"/>
        <w:rPr>
          <w:rFonts w:ascii="Times New Roman" w:hAnsi="Times New Roman" w:cs="Times New Roman"/>
          <w:iCs/>
          <w:szCs w:val="24"/>
          <w:lang w:val="hu-HU"/>
        </w:rPr>
      </w:pPr>
      <w:r w:rsidRPr="00401E38">
        <w:rPr>
          <w:rFonts w:ascii="Times New Roman" w:hAnsi="Times New Roman" w:cs="Times New Roman"/>
          <w:iCs/>
          <w:szCs w:val="24"/>
          <w:lang w:val="hu-HU"/>
        </w:rPr>
        <w:t>ethnicity: for ex. Secic v Croatia</w:t>
      </w:r>
      <w:hyperlink r:id="rId19" w:anchor="{&quot;fulltext&quot;:[&quot;Secic v Croatia&quot;],&quot;itemid&quot;:[&quot;003-2012842-2123404&quot;]}" w:history="1">
        <w:r w:rsidR="00B252B4" w:rsidRPr="00B252B4">
          <w:rPr>
            <w:rStyle w:val="Hiperhivatkozs"/>
            <w:rFonts w:ascii="Times New Roman" w:hAnsi="Times New Roman" w:cs="Times New Roman"/>
            <w:iCs/>
            <w:szCs w:val="24"/>
            <w:lang w:val="hu-HU"/>
          </w:rPr>
          <w:t>link</w:t>
        </w:r>
      </w:hyperlink>
    </w:p>
    <w:p w:rsidR="00401E38" w:rsidRPr="00401E38" w:rsidRDefault="00401E38" w:rsidP="00401E38">
      <w:pPr>
        <w:pStyle w:val="Listaszerbekezds"/>
        <w:numPr>
          <w:ilvl w:val="0"/>
          <w:numId w:val="15"/>
        </w:numPr>
        <w:jc w:val="both"/>
        <w:rPr>
          <w:rFonts w:ascii="Times New Roman" w:hAnsi="Times New Roman" w:cs="Times New Roman"/>
          <w:iCs/>
          <w:szCs w:val="24"/>
          <w:lang w:val="hu-HU"/>
        </w:rPr>
      </w:pPr>
      <w:r w:rsidRPr="00401E38">
        <w:rPr>
          <w:rFonts w:ascii="Times New Roman" w:hAnsi="Times New Roman" w:cs="Times New Roman"/>
          <w:iCs/>
          <w:szCs w:val="24"/>
          <w:lang w:val="hu-HU"/>
        </w:rPr>
        <w:t>R.B. v Hungary</w:t>
      </w:r>
      <w:hyperlink r:id="rId20" w:anchor="{&quot;fulltext&quot;:[&quot;R.B. v Hungary&quot;],&quot;documentcollectionid2&quot;:[&quot;GRANDCHAMBER&quot;,&quot;CHAMBER&quot;],&quot;itemid&quot;:[&quot;001-161983&quot;]}" w:history="1">
        <w:r w:rsidR="00B252B4" w:rsidRPr="00B252B4">
          <w:rPr>
            <w:rStyle w:val="Hiperhivatkozs"/>
            <w:rFonts w:ascii="Times New Roman" w:hAnsi="Times New Roman" w:cs="Times New Roman"/>
            <w:iCs/>
            <w:szCs w:val="24"/>
            <w:lang w:val="hu-HU"/>
          </w:rPr>
          <w:t>link</w:t>
        </w:r>
      </w:hyperlink>
    </w:p>
    <w:p w:rsidR="00401E38" w:rsidRPr="00401E38" w:rsidRDefault="00401E38" w:rsidP="00401E38">
      <w:pPr>
        <w:pStyle w:val="Listaszerbekezds"/>
        <w:numPr>
          <w:ilvl w:val="0"/>
          <w:numId w:val="15"/>
        </w:numPr>
        <w:jc w:val="both"/>
        <w:rPr>
          <w:rFonts w:ascii="Times New Roman" w:hAnsi="Times New Roman" w:cs="Times New Roman"/>
          <w:iCs/>
          <w:szCs w:val="24"/>
          <w:lang w:val="hu-HU"/>
        </w:rPr>
      </w:pPr>
      <w:r w:rsidRPr="00401E38">
        <w:rPr>
          <w:rFonts w:ascii="Times New Roman" w:hAnsi="Times New Roman" w:cs="Times New Roman"/>
          <w:iCs/>
          <w:szCs w:val="24"/>
          <w:lang w:val="hu-HU"/>
        </w:rPr>
        <w:t>religious affiliation: for ex. Begheluri v. Georgia</w:t>
      </w:r>
      <w:hyperlink r:id="rId21" w:history="1">
        <w:r w:rsidRPr="00401E38">
          <w:rPr>
            <w:rStyle w:val="Hiperhivatkozs"/>
            <w:rFonts w:ascii="Times New Roman" w:hAnsi="Times New Roman" w:cs="Times New Roman"/>
            <w:iCs/>
            <w:szCs w:val="24"/>
            <w:lang w:val="en-US"/>
          </w:rPr>
          <w:t>link</w:t>
        </w:r>
      </w:hyperlink>
    </w:p>
    <w:p w:rsidR="00401E38" w:rsidRPr="00401E38" w:rsidRDefault="00401E38" w:rsidP="00401E38">
      <w:pPr>
        <w:pStyle w:val="Listaszerbekezds"/>
        <w:numPr>
          <w:ilvl w:val="0"/>
          <w:numId w:val="15"/>
        </w:numPr>
        <w:jc w:val="both"/>
        <w:rPr>
          <w:rFonts w:ascii="Times New Roman" w:hAnsi="Times New Roman" w:cs="Times New Roman"/>
          <w:iCs/>
          <w:szCs w:val="24"/>
          <w:lang w:val="hu-HU"/>
        </w:rPr>
      </w:pPr>
      <w:r w:rsidRPr="00401E38">
        <w:rPr>
          <w:rFonts w:ascii="Times New Roman" w:hAnsi="Times New Roman" w:cs="Times New Roman"/>
          <w:iCs/>
          <w:szCs w:val="24"/>
          <w:lang w:val="hu-HU"/>
        </w:rPr>
        <w:t>sexual orientation, gender identity: Identoba v. Georgia</w:t>
      </w:r>
      <w:hyperlink r:id="rId22" w:anchor="{&quot;fulltext&quot;:[&quot;Identoba v. Georgia&quot;],&quot;documentcollectionid2&quot;:[&quot;GRANDCHAMBER&quot;,&quot;CHAMBER&quot;],&quot;itemid&quot;:[&quot;001-154400&quot;]}" w:history="1">
        <w:r w:rsidR="00B252B4" w:rsidRPr="00B252B4">
          <w:rPr>
            <w:rStyle w:val="Hiperhivatkozs"/>
            <w:rFonts w:ascii="Times New Roman" w:hAnsi="Times New Roman" w:cs="Times New Roman"/>
            <w:iCs/>
            <w:szCs w:val="24"/>
            <w:lang w:val="hu-HU"/>
          </w:rPr>
          <w:t>link</w:t>
        </w:r>
      </w:hyperlink>
    </w:p>
    <w:p w:rsidR="00401E38" w:rsidRPr="00401E38" w:rsidRDefault="00401E38" w:rsidP="00401E38">
      <w:pPr>
        <w:pStyle w:val="Listaszerbekezds"/>
        <w:numPr>
          <w:ilvl w:val="0"/>
          <w:numId w:val="15"/>
        </w:numPr>
        <w:rPr>
          <w:rFonts w:ascii="Times New Roman" w:hAnsi="Times New Roman" w:cs="Times New Roman"/>
          <w:iCs/>
          <w:szCs w:val="24"/>
          <w:u w:val="single"/>
          <w:lang w:val="en-US"/>
        </w:rPr>
      </w:pPr>
      <w:r w:rsidRPr="00401E38">
        <w:rPr>
          <w:rFonts w:ascii="Times New Roman" w:hAnsi="Times New Roman" w:cs="Times New Roman"/>
          <w:iCs/>
          <w:szCs w:val="24"/>
          <w:lang w:val="hu-HU"/>
        </w:rPr>
        <w:t>disability: Dordevic v. Croatia</w:t>
      </w:r>
      <w:hyperlink r:id="rId23" w:history="1">
        <w:r w:rsidRPr="00401E38">
          <w:rPr>
            <w:rStyle w:val="Hiperhivatkozs"/>
            <w:rFonts w:ascii="Times New Roman" w:hAnsi="Times New Roman" w:cs="Times New Roman"/>
            <w:iCs/>
            <w:szCs w:val="24"/>
            <w:lang w:val="en-US"/>
          </w:rPr>
          <w:t>link</w:t>
        </w:r>
      </w:hyperlink>
    </w:p>
    <w:p w:rsidR="00401E38" w:rsidRDefault="00401E38" w:rsidP="00401E38">
      <w:pPr>
        <w:jc w:val="both"/>
        <w:rPr>
          <w:rFonts w:ascii="Times New Roman" w:hAnsi="Times New Roman" w:cs="Times New Roman"/>
          <w:b/>
          <w:iCs/>
          <w:szCs w:val="24"/>
          <w:lang w:val="hu-HU"/>
        </w:rPr>
      </w:pPr>
    </w:p>
    <w:p w:rsidR="00401E38" w:rsidRPr="00401E38" w:rsidRDefault="00401E38" w:rsidP="00401E38">
      <w:pPr>
        <w:jc w:val="both"/>
        <w:rPr>
          <w:rFonts w:ascii="Times New Roman" w:hAnsi="Times New Roman" w:cs="Times New Roman"/>
          <w:iCs/>
          <w:szCs w:val="24"/>
          <w:u w:val="single"/>
          <w:lang w:val="hu-HU"/>
        </w:rPr>
      </w:pPr>
      <w:r>
        <w:rPr>
          <w:rFonts w:ascii="Times New Roman" w:hAnsi="Times New Roman" w:cs="Times New Roman"/>
          <w:iCs/>
          <w:szCs w:val="24"/>
          <w:u w:val="single"/>
          <w:lang w:val="hu-HU"/>
        </w:rPr>
        <w:t>O</w:t>
      </w:r>
      <w:r w:rsidRPr="00401E38">
        <w:rPr>
          <w:rFonts w:ascii="Times New Roman" w:hAnsi="Times New Roman" w:cs="Times New Roman"/>
          <w:iCs/>
          <w:szCs w:val="24"/>
          <w:u w:val="single"/>
          <w:lang w:val="hu-HU"/>
        </w:rPr>
        <w:t>bligation to unmask bias motivation also in lack of hate crime legislation</w:t>
      </w:r>
      <w:r>
        <w:rPr>
          <w:rFonts w:ascii="Times New Roman" w:hAnsi="Times New Roman" w:cs="Times New Roman"/>
          <w:iCs/>
          <w:szCs w:val="24"/>
          <w:u w:val="single"/>
          <w:lang w:val="hu-HU"/>
        </w:rPr>
        <w:t>:</w:t>
      </w:r>
    </w:p>
    <w:p w:rsidR="00401E38" w:rsidRDefault="00401E38" w:rsidP="00401E38">
      <w:pPr>
        <w:pStyle w:val="Listaszerbekezds"/>
        <w:numPr>
          <w:ilvl w:val="0"/>
          <w:numId w:val="14"/>
        </w:numPr>
        <w:jc w:val="both"/>
        <w:rPr>
          <w:rFonts w:ascii="Times New Roman" w:hAnsi="Times New Roman" w:cs="Times New Roman"/>
          <w:iCs/>
          <w:szCs w:val="24"/>
          <w:lang w:val="hu-HU"/>
        </w:rPr>
      </w:pPr>
      <w:r w:rsidRPr="00401E38">
        <w:rPr>
          <w:rFonts w:ascii="Times New Roman" w:hAnsi="Times New Roman" w:cs="Times New Roman"/>
          <w:iCs/>
          <w:szCs w:val="24"/>
          <w:lang w:val="hu-HU"/>
        </w:rPr>
        <w:t>Angelova and Iliev v. Bulgaria</w:t>
      </w:r>
      <w:hyperlink r:id="rId24" w:anchor="{&quot;fulltext&quot;:[&quot;•tAngelova and Iliev v. Bulgaria&quot;],&quot;documentcollectionid2&quot;:[&quot;GRANDCHAMBER&quot;,&quot;CHAMBER&quot;],&quot;itemid&quot;:[&quot;001-81906&quot;]}" w:history="1">
        <w:r w:rsidR="00B252B4" w:rsidRPr="00B252B4">
          <w:rPr>
            <w:rStyle w:val="Hiperhivatkozs"/>
            <w:rFonts w:ascii="Times New Roman" w:hAnsi="Times New Roman" w:cs="Times New Roman"/>
            <w:iCs/>
            <w:szCs w:val="24"/>
            <w:lang w:val="hu-HU"/>
          </w:rPr>
          <w:t>link</w:t>
        </w:r>
      </w:hyperlink>
    </w:p>
    <w:p w:rsidR="00401E38" w:rsidRDefault="00401E38" w:rsidP="00401E38">
      <w:pPr>
        <w:ind w:left="360"/>
        <w:jc w:val="both"/>
        <w:rPr>
          <w:rFonts w:ascii="Times New Roman" w:hAnsi="Times New Roman" w:cs="Times New Roman"/>
          <w:iCs/>
          <w:szCs w:val="24"/>
          <w:lang w:val="hu-HU"/>
        </w:rPr>
      </w:pPr>
    </w:p>
    <w:p w:rsidR="00401E38" w:rsidRPr="00401E38" w:rsidRDefault="00401E38" w:rsidP="00401E38">
      <w:pPr>
        <w:jc w:val="both"/>
        <w:rPr>
          <w:rFonts w:ascii="Times New Roman" w:hAnsi="Times New Roman" w:cs="Times New Roman"/>
          <w:iCs/>
          <w:szCs w:val="24"/>
          <w:u w:val="single"/>
          <w:lang w:val="hu-HU"/>
        </w:rPr>
      </w:pPr>
      <w:r w:rsidRPr="00401E38">
        <w:rPr>
          <w:rFonts w:ascii="Times New Roman" w:hAnsi="Times New Roman" w:cs="Times New Roman"/>
          <w:iCs/>
          <w:szCs w:val="24"/>
          <w:u w:val="single"/>
          <w:lang w:val="hu-HU"/>
        </w:rPr>
        <w:t>Mixed motivation does not exclude the obligation to unmask bias motivation</w:t>
      </w:r>
      <w:r>
        <w:rPr>
          <w:rFonts w:ascii="Times New Roman" w:hAnsi="Times New Roman" w:cs="Times New Roman"/>
          <w:iCs/>
          <w:szCs w:val="24"/>
          <w:u w:val="single"/>
          <w:lang w:val="hu-HU"/>
        </w:rPr>
        <w:t>:</w:t>
      </w:r>
    </w:p>
    <w:p w:rsidR="00401E38" w:rsidRPr="00401E38" w:rsidRDefault="00401E38" w:rsidP="00401E38">
      <w:pPr>
        <w:pStyle w:val="Listaszerbekezds"/>
        <w:numPr>
          <w:ilvl w:val="0"/>
          <w:numId w:val="14"/>
        </w:numPr>
        <w:jc w:val="both"/>
        <w:rPr>
          <w:rFonts w:ascii="Times New Roman" w:hAnsi="Times New Roman" w:cs="Times New Roman"/>
          <w:iCs/>
          <w:szCs w:val="24"/>
          <w:lang w:val="hu-HU"/>
        </w:rPr>
      </w:pPr>
      <w:r w:rsidRPr="00401E38">
        <w:rPr>
          <w:rFonts w:ascii="Times New Roman" w:hAnsi="Times New Roman" w:cs="Times New Roman"/>
          <w:iCs/>
          <w:szCs w:val="24"/>
          <w:lang w:val="hu-HU"/>
        </w:rPr>
        <w:t>Balázs v. Hungary</w:t>
      </w:r>
      <w:hyperlink r:id="rId25" w:anchor="{&quot;fulltext&quot;:[&quot;Balázs v. Hungary&quot;],&quot;documentcollectionid2&quot;:[&quot;GRANDCHAMBER&quot;,&quot;CHAMBER&quot;],&quot;itemid&quot;:[&quot;001-158033&quot;]}" w:history="1">
        <w:r w:rsidR="00B252B4" w:rsidRPr="00B252B4">
          <w:rPr>
            <w:rStyle w:val="Hiperhivatkozs"/>
            <w:rFonts w:ascii="Times New Roman" w:hAnsi="Times New Roman" w:cs="Times New Roman"/>
            <w:iCs/>
            <w:szCs w:val="24"/>
            <w:lang w:val="hu-HU"/>
          </w:rPr>
          <w:t>link</w:t>
        </w:r>
      </w:hyperlink>
    </w:p>
    <w:p w:rsidR="00401E38" w:rsidRDefault="00401E38" w:rsidP="001406E9">
      <w:pPr>
        <w:jc w:val="both"/>
        <w:rPr>
          <w:rFonts w:ascii="Times New Roman" w:hAnsi="Times New Roman" w:cs="Times New Roman"/>
          <w:b/>
          <w:iCs/>
          <w:szCs w:val="24"/>
          <w:lang w:val="en-US"/>
        </w:rPr>
      </w:pPr>
    </w:p>
    <w:p w:rsidR="001406E9" w:rsidRDefault="001406E9" w:rsidP="001406E9">
      <w:pPr>
        <w:ind w:firstLine="720"/>
        <w:jc w:val="both"/>
        <w:rPr>
          <w:rFonts w:ascii="Times New Roman" w:hAnsi="Times New Roman" w:cs="Times New Roman"/>
          <w:b/>
          <w:iCs/>
          <w:szCs w:val="24"/>
          <w:lang w:val="en-US"/>
        </w:rPr>
      </w:pPr>
    </w:p>
    <w:p w:rsidR="00401E38" w:rsidRDefault="00401E38" w:rsidP="001406E9">
      <w:pPr>
        <w:ind w:firstLine="720"/>
        <w:jc w:val="both"/>
        <w:rPr>
          <w:rFonts w:ascii="Times New Roman" w:hAnsi="Times New Roman" w:cs="Times New Roman"/>
          <w:b/>
          <w:iCs/>
          <w:szCs w:val="24"/>
          <w:lang w:val="en-US"/>
        </w:rPr>
      </w:pPr>
    </w:p>
    <w:p w:rsidR="00A87978" w:rsidRDefault="00A87978" w:rsidP="001406E9">
      <w:pPr>
        <w:ind w:firstLine="720"/>
        <w:jc w:val="both"/>
        <w:rPr>
          <w:rFonts w:ascii="Times New Roman" w:hAnsi="Times New Roman" w:cs="Times New Roman"/>
          <w:b/>
          <w:iCs/>
          <w:szCs w:val="24"/>
          <w:lang w:val="en-US"/>
        </w:rPr>
      </w:pPr>
    </w:p>
    <w:p w:rsidR="00A87978" w:rsidRDefault="00A87978" w:rsidP="001406E9">
      <w:pPr>
        <w:ind w:firstLine="720"/>
        <w:jc w:val="both"/>
        <w:rPr>
          <w:rFonts w:ascii="Times New Roman" w:hAnsi="Times New Roman" w:cs="Times New Roman"/>
          <w:b/>
          <w:iCs/>
          <w:szCs w:val="24"/>
          <w:lang w:val="en-US"/>
        </w:rPr>
      </w:pPr>
    </w:p>
    <w:p w:rsidR="00A87978" w:rsidRDefault="00A87978" w:rsidP="001406E9">
      <w:pPr>
        <w:ind w:firstLine="720"/>
        <w:jc w:val="both"/>
        <w:rPr>
          <w:rFonts w:ascii="Times New Roman" w:hAnsi="Times New Roman" w:cs="Times New Roman"/>
          <w:b/>
          <w:iCs/>
          <w:szCs w:val="24"/>
          <w:lang w:val="en-US"/>
        </w:rPr>
      </w:pPr>
    </w:p>
    <w:p w:rsidR="00A87978" w:rsidRDefault="00A87978" w:rsidP="001406E9">
      <w:pPr>
        <w:ind w:firstLine="720"/>
        <w:jc w:val="both"/>
        <w:rPr>
          <w:rFonts w:ascii="Times New Roman" w:hAnsi="Times New Roman" w:cs="Times New Roman"/>
          <w:b/>
          <w:iCs/>
          <w:szCs w:val="24"/>
          <w:lang w:val="en-US"/>
        </w:rPr>
      </w:pPr>
    </w:p>
    <w:p w:rsidR="00A87978" w:rsidRDefault="00A87978" w:rsidP="001406E9">
      <w:pPr>
        <w:ind w:firstLine="720"/>
        <w:jc w:val="both"/>
        <w:rPr>
          <w:rFonts w:ascii="Times New Roman" w:hAnsi="Times New Roman" w:cs="Times New Roman"/>
          <w:b/>
          <w:iCs/>
          <w:szCs w:val="24"/>
          <w:lang w:val="en-US"/>
        </w:rPr>
      </w:pPr>
    </w:p>
    <w:p w:rsidR="004435C2" w:rsidRPr="00E5382A" w:rsidRDefault="004435C2" w:rsidP="004435C2">
      <w:pPr>
        <w:jc w:val="both"/>
        <w:rPr>
          <w:rFonts w:ascii="Times New Roman" w:hAnsi="Times New Roman" w:cs="Times New Roman"/>
          <w:iCs/>
          <w:szCs w:val="24"/>
          <w:lang w:val="en-US"/>
        </w:rPr>
      </w:pPr>
    </w:p>
    <w:p w:rsidR="00CA3598" w:rsidRPr="00CA3598" w:rsidRDefault="001406E9" w:rsidP="00CA3598">
      <w:pPr>
        <w:pStyle w:val="Cmsor1"/>
        <w:rPr>
          <w:rFonts w:ascii="Times New Roman" w:hAnsi="Times New Roman"/>
          <w:iCs/>
          <w:szCs w:val="24"/>
          <w:lang w:val="en-US"/>
        </w:rPr>
      </w:pPr>
      <w:bookmarkStart w:id="9" w:name="_Toc490844999"/>
      <w:r>
        <w:rPr>
          <w:lang w:val="en-US" w:eastAsia="en-US"/>
        </w:rPr>
        <w:lastRenderedPageBreak/>
        <w:t>4</w:t>
      </w:r>
      <w:r w:rsidR="00CA3598" w:rsidRPr="00CA3598">
        <w:rPr>
          <w:lang w:val="en-US" w:eastAsia="en-US"/>
        </w:rPr>
        <w:t>. Instruments</w:t>
      </w:r>
      <w:bookmarkEnd w:id="9"/>
    </w:p>
    <w:p w:rsidR="00CA3598" w:rsidRPr="00CA3598" w:rsidRDefault="001406E9" w:rsidP="00CA3598">
      <w:pPr>
        <w:pStyle w:val="Cmsor2"/>
        <w:rPr>
          <w:lang w:val="en-US"/>
        </w:rPr>
      </w:pPr>
      <w:bookmarkStart w:id="10" w:name="_Toc346570263"/>
      <w:bookmarkStart w:id="11" w:name="_Toc490845000"/>
      <w:r>
        <w:rPr>
          <w:lang w:val="en-US"/>
        </w:rPr>
        <w:t>4.</w:t>
      </w:r>
      <w:r w:rsidR="00CA3598" w:rsidRPr="00CA3598">
        <w:rPr>
          <w:lang w:val="en-US"/>
        </w:rPr>
        <w:t>1. Universal instruments</w:t>
      </w:r>
      <w:bookmarkEnd w:id="10"/>
      <w:bookmarkEnd w:id="11"/>
    </w:p>
    <w:p w:rsidR="00CA3598" w:rsidRPr="00CA3598" w:rsidRDefault="001406E9" w:rsidP="00CA3598">
      <w:pPr>
        <w:pStyle w:val="Cmsor3"/>
        <w:rPr>
          <w:lang w:val="en-US"/>
        </w:rPr>
      </w:pPr>
      <w:bookmarkStart w:id="12" w:name="_Toc346544863"/>
      <w:bookmarkStart w:id="13" w:name="_Toc346570264"/>
      <w:bookmarkStart w:id="14" w:name="_Toc490845001"/>
      <w:r>
        <w:rPr>
          <w:lang w:val="en-US"/>
        </w:rPr>
        <w:t>4.</w:t>
      </w:r>
      <w:r w:rsidR="00CA3598" w:rsidRPr="00CA3598">
        <w:rPr>
          <w:lang w:val="en-US"/>
        </w:rPr>
        <w:t>1.1 Universal Declaration of Human Rights</w:t>
      </w:r>
      <w:bookmarkEnd w:id="12"/>
      <w:bookmarkEnd w:id="13"/>
      <w:r w:rsidR="00CA3598" w:rsidRPr="00CA3598">
        <w:rPr>
          <w:lang w:val="en-US"/>
        </w:rPr>
        <w:t xml:space="preserve"> (</w:t>
      </w:r>
      <w:hyperlink r:id="rId26" w:history="1">
        <w:r w:rsidR="00CA3598" w:rsidRPr="00CA3598">
          <w:rPr>
            <w:color w:val="0000FF" w:themeColor="hyperlink"/>
            <w:u w:val="single"/>
            <w:lang w:val="en-US"/>
          </w:rPr>
          <w:t>link</w:t>
        </w:r>
      </w:hyperlink>
      <w:r w:rsidR="00CA3598" w:rsidRPr="00CA3598">
        <w:rPr>
          <w:lang w:val="en-US"/>
        </w:rPr>
        <w:t>)</w:t>
      </w:r>
      <w:bookmarkEnd w:id="14"/>
    </w:p>
    <w:p w:rsidR="00CA3598" w:rsidRPr="00CA3598" w:rsidRDefault="00CA3598" w:rsidP="00CA3598">
      <w:pPr>
        <w:rPr>
          <w:rFonts w:ascii="Times New Roman" w:hAnsi="Times New Roman" w:cs="Times New Roman"/>
          <w:i/>
          <w:u w:val="single"/>
          <w:lang w:val="en-US"/>
        </w:rPr>
      </w:pPr>
      <w:r w:rsidRPr="00CA3598">
        <w:rPr>
          <w:rFonts w:ascii="Times New Roman" w:hAnsi="Times New Roman" w:cs="Times New Roman"/>
          <w:i/>
          <w:u w:val="single"/>
          <w:lang w:val="en-US"/>
        </w:rPr>
        <w:t>Article 2</w:t>
      </w:r>
    </w:p>
    <w:p w:rsidR="00CA3598" w:rsidRPr="00CA3598" w:rsidRDefault="00CA3598" w:rsidP="00CA3598">
      <w:pPr>
        <w:jc w:val="both"/>
        <w:rPr>
          <w:rFonts w:ascii="Times New Roman" w:hAnsi="Times New Roman" w:cs="Times New Roman"/>
          <w:lang w:val="en-US"/>
        </w:rPr>
      </w:pPr>
      <w:r w:rsidRPr="00CA3598">
        <w:rPr>
          <w:rFonts w:ascii="Times New Roman" w:hAnsi="Times New Roman" w:cs="Times New Roman"/>
          <w:lang w:val="en-US"/>
        </w:rPr>
        <w:t>Everyone is entitled to all the rights and freedoms set forth in this Declaration, without distinction of any kind, such as race, color,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p>
    <w:p w:rsidR="00CA3598" w:rsidRPr="00CA3598" w:rsidRDefault="00CA3598" w:rsidP="00CA3598">
      <w:pPr>
        <w:jc w:val="both"/>
        <w:rPr>
          <w:rFonts w:ascii="Times New Roman" w:hAnsi="Times New Roman" w:cs="Times New Roman"/>
          <w:lang w:val="en-US"/>
        </w:rPr>
      </w:pPr>
    </w:p>
    <w:p w:rsidR="00CA3598" w:rsidRPr="00CA3598" w:rsidRDefault="008541CA" w:rsidP="00CA3598">
      <w:pPr>
        <w:pStyle w:val="Cmsor3"/>
        <w:rPr>
          <w:lang w:val="en-US"/>
        </w:rPr>
      </w:pPr>
      <w:bookmarkStart w:id="15" w:name="_Toc346544864"/>
      <w:bookmarkStart w:id="16" w:name="_Toc346570265"/>
      <w:bookmarkStart w:id="17" w:name="_Toc490845002"/>
      <w:r>
        <w:rPr>
          <w:lang w:val="en-US"/>
        </w:rPr>
        <w:t>4</w:t>
      </w:r>
      <w:r w:rsidR="00CA3598" w:rsidRPr="00CA3598">
        <w:rPr>
          <w:lang w:val="en-US"/>
        </w:rPr>
        <w:t>.</w:t>
      </w:r>
      <w:r>
        <w:rPr>
          <w:lang w:val="en-US"/>
        </w:rPr>
        <w:t>1.</w:t>
      </w:r>
      <w:r w:rsidR="00CA3598" w:rsidRPr="00CA3598">
        <w:rPr>
          <w:lang w:val="en-US"/>
        </w:rPr>
        <w:t>2. International Covenant on Civil and Political Rights</w:t>
      </w:r>
      <w:bookmarkEnd w:id="15"/>
      <w:bookmarkEnd w:id="16"/>
      <w:r w:rsidR="00CA3598" w:rsidRPr="00CA3598">
        <w:rPr>
          <w:lang w:val="en-US"/>
        </w:rPr>
        <w:t xml:space="preserve"> (</w:t>
      </w:r>
      <w:hyperlink r:id="rId27" w:history="1">
        <w:r w:rsidR="00CA3598" w:rsidRPr="00CA3598">
          <w:rPr>
            <w:color w:val="0000FF" w:themeColor="hyperlink"/>
            <w:u w:val="single"/>
            <w:lang w:val="en-US"/>
          </w:rPr>
          <w:t>link</w:t>
        </w:r>
      </w:hyperlink>
      <w:r w:rsidR="00CA3598" w:rsidRPr="00CA3598">
        <w:rPr>
          <w:lang w:val="en-US"/>
        </w:rPr>
        <w:t>)</w:t>
      </w:r>
      <w:bookmarkEnd w:id="17"/>
    </w:p>
    <w:p w:rsidR="00CA3598" w:rsidRPr="00CA3598" w:rsidRDefault="00CA3598" w:rsidP="00CA3598">
      <w:pPr>
        <w:jc w:val="both"/>
        <w:rPr>
          <w:rFonts w:ascii="Times New Roman" w:hAnsi="Times New Roman" w:cs="Times New Roman"/>
          <w:i/>
          <w:u w:val="single"/>
          <w:lang w:val="en-US"/>
        </w:rPr>
      </w:pPr>
      <w:r w:rsidRPr="00CA3598">
        <w:rPr>
          <w:rFonts w:ascii="Times New Roman" w:hAnsi="Times New Roman" w:cs="Times New Roman"/>
          <w:i/>
          <w:u w:val="single"/>
          <w:lang w:val="en-US"/>
        </w:rPr>
        <w:t>Article 2</w:t>
      </w:r>
    </w:p>
    <w:p w:rsidR="00CA3598" w:rsidRPr="00CA3598" w:rsidRDefault="00CA3598" w:rsidP="00CA3598">
      <w:pPr>
        <w:jc w:val="both"/>
        <w:rPr>
          <w:rFonts w:ascii="Times New Roman" w:hAnsi="Times New Roman" w:cs="Times New Roman"/>
          <w:lang w:val="en-US"/>
        </w:rPr>
      </w:pPr>
      <w:r w:rsidRPr="00CA3598">
        <w:rPr>
          <w:rFonts w:ascii="Times New Roman" w:hAnsi="Times New Roman" w:cs="Times New Roman"/>
          <w:lang w:val="en-US"/>
        </w:rPr>
        <w:t>1. 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rsidR="00CA3598" w:rsidRPr="00CA3598" w:rsidRDefault="00CA3598" w:rsidP="00CA3598">
      <w:pPr>
        <w:jc w:val="both"/>
        <w:rPr>
          <w:rFonts w:ascii="Times New Roman" w:hAnsi="Times New Roman" w:cs="Times New Roman"/>
          <w:i/>
          <w:u w:val="single"/>
          <w:lang w:val="en-US"/>
        </w:rPr>
      </w:pPr>
      <w:r w:rsidRPr="00CA3598">
        <w:rPr>
          <w:rFonts w:ascii="Times New Roman" w:hAnsi="Times New Roman" w:cs="Times New Roman"/>
          <w:i/>
          <w:u w:val="single"/>
          <w:lang w:val="en-US"/>
        </w:rPr>
        <w:t>Article 26</w:t>
      </w:r>
    </w:p>
    <w:p w:rsidR="00CA3598" w:rsidRPr="00CA3598" w:rsidRDefault="00CA3598" w:rsidP="00CA3598">
      <w:pPr>
        <w:jc w:val="both"/>
        <w:rPr>
          <w:rFonts w:ascii="Times New Roman" w:hAnsi="Times New Roman" w:cs="Times New Roman"/>
          <w:lang w:val="en-US"/>
        </w:rPr>
      </w:pPr>
      <w:r w:rsidRPr="00CA3598">
        <w:rPr>
          <w:rFonts w:ascii="Times New Roman" w:hAnsi="Times New Roman" w:cs="Times New Roman"/>
          <w:lang w:val="en-US"/>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tbl>
      <w:tblPr>
        <w:tblStyle w:val="Vilgoslista2jellszn"/>
        <w:tblW w:w="0" w:type="auto"/>
        <w:tblLook w:val="04A0"/>
      </w:tblPr>
      <w:tblGrid>
        <w:gridCol w:w="8516"/>
      </w:tblGrid>
      <w:tr w:rsidR="00CA3598" w:rsidRPr="00595388" w:rsidTr="00D231D8">
        <w:trPr>
          <w:cnfStyle w:val="100000000000"/>
        </w:trPr>
        <w:tc>
          <w:tcPr>
            <w:cnfStyle w:val="001000000000"/>
            <w:tcW w:w="8516" w:type="dxa"/>
          </w:tcPr>
          <w:p w:rsidR="00CA3598" w:rsidRPr="00CA3598" w:rsidRDefault="00CA3598" w:rsidP="00CA3598">
            <w:pPr>
              <w:widowControl w:val="0"/>
              <w:tabs>
                <w:tab w:val="left" w:pos="0"/>
                <w:tab w:val="left" w:pos="220"/>
              </w:tabs>
              <w:autoSpaceDE w:val="0"/>
              <w:autoSpaceDN w:val="0"/>
              <w:adjustRightInd w:val="0"/>
              <w:spacing w:after="213"/>
              <w:rPr>
                <w:rFonts w:ascii="Verdana" w:hAnsi="Verdana" w:cs="Times"/>
                <w:i/>
                <w:iCs/>
                <w:sz w:val="19"/>
                <w:szCs w:val="19"/>
                <w:u w:val="single"/>
              </w:rPr>
            </w:pPr>
            <w:bookmarkStart w:id="18" w:name="_Toc346570266"/>
            <w:r w:rsidRPr="00CA3598">
              <w:rPr>
                <w:rFonts w:ascii="Verdana" w:hAnsi="Verdana" w:cs="Times"/>
                <w:i/>
                <w:iCs/>
                <w:sz w:val="19"/>
                <w:szCs w:val="19"/>
                <w:u w:val="single"/>
              </w:rPr>
              <w:t>Monitoring Body</w:t>
            </w:r>
          </w:p>
          <w:p w:rsidR="00CA3598" w:rsidRPr="00CA3598" w:rsidRDefault="00CA3598" w:rsidP="00CA3598">
            <w:pPr>
              <w:widowControl w:val="0"/>
              <w:tabs>
                <w:tab w:val="left" w:pos="0"/>
                <w:tab w:val="left" w:pos="220"/>
              </w:tabs>
              <w:autoSpaceDE w:val="0"/>
              <w:autoSpaceDN w:val="0"/>
              <w:adjustRightInd w:val="0"/>
              <w:spacing w:after="213"/>
              <w:rPr>
                <w:rFonts w:ascii="Verdana" w:hAnsi="Verdana" w:cs="Times"/>
                <w:sz w:val="19"/>
                <w:szCs w:val="19"/>
              </w:rPr>
            </w:pPr>
            <w:r w:rsidRPr="00CA3598">
              <w:rPr>
                <w:rFonts w:ascii="Verdana" w:hAnsi="Verdana" w:cs="Times"/>
                <w:sz w:val="19"/>
                <w:szCs w:val="19"/>
              </w:rPr>
              <w:tab/>
              <w:t>The Human Rights Committee is the body of independent experts that monitors implementation of the International Covenant on Civil and Political Rights by its State parties. All States parties are obliged to submit regular reports to the Committee on how the rights are being implemented. States must report initially one year after acceding to the Covenant and then whenever the Committee requests (usually every four years). The Committee examines each report and addresses its concerns and recommendations to the State party in the form of "concluding observations”.</w:t>
            </w:r>
          </w:p>
          <w:p w:rsidR="00CA3598" w:rsidRPr="00CA3598" w:rsidRDefault="00CA3598" w:rsidP="00CA3598">
            <w:pPr>
              <w:widowControl w:val="0"/>
              <w:tabs>
                <w:tab w:val="left" w:pos="0"/>
                <w:tab w:val="left" w:pos="220"/>
              </w:tabs>
              <w:autoSpaceDE w:val="0"/>
              <w:autoSpaceDN w:val="0"/>
              <w:adjustRightInd w:val="0"/>
              <w:spacing w:after="213"/>
              <w:rPr>
                <w:rFonts w:ascii="Verdana" w:hAnsi="Verdana" w:cs="Times"/>
                <w:i/>
                <w:iCs/>
                <w:sz w:val="19"/>
                <w:szCs w:val="19"/>
                <w:u w:val="single"/>
              </w:rPr>
            </w:pPr>
            <w:bookmarkStart w:id="19" w:name="_Toc346570267"/>
            <w:r w:rsidRPr="00CA3598">
              <w:rPr>
                <w:rFonts w:ascii="Verdana" w:hAnsi="Verdana" w:cs="Times"/>
                <w:i/>
                <w:iCs/>
                <w:sz w:val="19"/>
                <w:szCs w:val="19"/>
                <w:u w:val="single"/>
              </w:rPr>
              <w:t>Individual Complaints</w:t>
            </w:r>
            <w:bookmarkEnd w:id="19"/>
          </w:p>
          <w:p w:rsidR="00CA3598" w:rsidRPr="00CA3598" w:rsidRDefault="00CA3598" w:rsidP="00CA3598">
            <w:pPr>
              <w:widowControl w:val="0"/>
              <w:tabs>
                <w:tab w:val="left" w:pos="0"/>
                <w:tab w:val="left" w:pos="220"/>
              </w:tabs>
              <w:autoSpaceDE w:val="0"/>
              <w:autoSpaceDN w:val="0"/>
              <w:adjustRightInd w:val="0"/>
              <w:spacing w:after="213"/>
              <w:rPr>
                <w:rFonts w:ascii="Verdana" w:hAnsi="Verdana" w:cs="Times"/>
                <w:sz w:val="19"/>
                <w:szCs w:val="19"/>
              </w:rPr>
            </w:pPr>
            <w:r w:rsidRPr="00CA3598">
              <w:rPr>
                <w:rFonts w:ascii="Verdana" w:hAnsi="Verdana" w:cs="Times"/>
                <w:sz w:val="19"/>
                <w:szCs w:val="19"/>
              </w:rPr>
              <w:tab/>
              <w:t>The Human Rights Committee (CCPR) may consider individual communications alleging violations of the rights set forth in the International Covenant on Civil and Political Rights by States parties to the First Optional Protocol to the International Covenant on Civil and Political Rights.</w:t>
            </w:r>
            <w:r w:rsidRPr="00CA3598">
              <w:rPr>
                <w:rFonts w:ascii="Verdana" w:hAnsi="Verdana" w:cs="Times"/>
                <w:sz w:val="19"/>
                <w:szCs w:val="19"/>
                <w:vertAlign w:val="superscript"/>
              </w:rPr>
              <w:footnoteReference w:id="38"/>
            </w:r>
          </w:p>
        </w:tc>
      </w:tr>
    </w:tbl>
    <w:p w:rsidR="00CA3598" w:rsidRDefault="00CA3598" w:rsidP="00CA3598">
      <w:pPr>
        <w:keepNext/>
        <w:keepLines/>
        <w:spacing w:before="200" w:after="0"/>
        <w:jc w:val="both"/>
        <w:outlineLvl w:val="2"/>
        <w:rPr>
          <w:rFonts w:asciiTheme="majorHAnsi" w:eastAsiaTheme="majorEastAsia" w:hAnsiTheme="majorHAnsi" w:cstheme="majorBidi"/>
          <w:b/>
          <w:bCs/>
          <w:color w:val="4F81BD" w:themeColor="accent1"/>
          <w:lang w:val="en-US"/>
        </w:rPr>
      </w:pPr>
      <w:bookmarkStart w:id="20" w:name="_Toc346544865"/>
      <w:bookmarkStart w:id="21" w:name="_Toc346570268"/>
      <w:bookmarkEnd w:id="18"/>
    </w:p>
    <w:p w:rsidR="00CA3598" w:rsidRPr="00CA3598" w:rsidRDefault="008541CA" w:rsidP="00CA3598">
      <w:pPr>
        <w:pStyle w:val="Cmsor3"/>
        <w:rPr>
          <w:lang w:val="en-US"/>
        </w:rPr>
      </w:pPr>
      <w:bookmarkStart w:id="22" w:name="_Toc490845003"/>
      <w:r>
        <w:rPr>
          <w:lang w:val="en-US"/>
        </w:rPr>
        <w:t>4.</w:t>
      </w:r>
      <w:r w:rsidR="00CA3598" w:rsidRPr="00CA3598">
        <w:rPr>
          <w:lang w:val="en-US"/>
        </w:rPr>
        <w:t>1.3. International Convention on the Elimination of All Forms of Racial Discrimination</w:t>
      </w:r>
      <w:bookmarkEnd w:id="20"/>
      <w:bookmarkEnd w:id="21"/>
      <w:r w:rsidR="00CA3598" w:rsidRPr="00CA3598">
        <w:rPr>
          <w:lang w:val="en-US"/>
        </w:rPr>
        <w:t xml:space="preserve"> (</w:t>
      </w:r>
      <w:hyperlink r:id="rId28" w:history="1">
        <w:r w:rsidR="00CA3598" w:rsidRPr="00CA3598">
          <w:rPr>
            <w:color w:val="0000FF" w:themeColor="hyperlink"/>
            <w:u w:val="single"/>
            <w:lang w:val="en-US"/>
          </w:rPr>
          <w:t>link</w:t>
        </w:r>
      </w:hyperlink>
      <w:r w:rsidR="00CA3598" w:rsidRPr="00CA3598">
        <w:rPr>
          <w:lang w:val="en-US"/>
        </w:rPr>
        <w:t>)</w:t>
      </w:r>
      <w:bookmarkEnd w:id="22"/>
    </w:p>
    <w:p w:rsidR="00CA3598" w:rsidRPr="00CA3598" w:rsidRDefault="00CA3598" w:rsidP="00CA3598">
      <w:pPr>
        <w:spacing w:after="0" w:line="240" w:lineRule="auto"/>
        <w:jc w:val="both"/>
        <w:rPr>
          <w:lang w:val="en-US"/>
        </w:rPr>
      </w:pPr>
    </w:p>
    <w:p w:rsidR="00CA3598" w:rsidRPr="00CA3598" w:rsidRDefault="00CA3598" w:rsidP="00CA3598">
      <w:pPr>
        <w:jc w:val="both"/>
        <w:rPr>
          <w:rFonts w:ascii="Times New Roman" w:hAnsi="Times New Roman" w:cs="Times New Roman"/>
          <w:lang w:val="en-US"/>
        </w:rPr>
      </w:pPr>
      <w:r w:rsidRPr="00CA3598">
        <w:rPr>
          <w:rFonts w:ascii="Times New Roman" w:hAnsi="Times New Roman" w:cs="Times New Roman"/>
          <w:lang w:val="en-US"/>
        </w:rPr>
        <w:t xml:space="preserve">The International Convention on the Elimination of All Forms of Racial Discrimination was adopted in 1965 by the UN General Assembly, as the par excellence international treaty aimed at combating discriminations against human rights and fundamental freedoms. </w:t>
      </w:r>
    </w:p>
    <w:p w:rsidR="00CA3598" w:rsidRPr="00CA3598" w:rsidRDefault="00CA3598" w:rsidP="00CA3598">
      <w:pPr>
        <w:jc w:val="both"/>
        <w:rPr>
          <w:rFonts w:ascii="Times New Roman" w:hAnsi="Times New Roman" w:cs="Times New Roman"/>
          <w:lang w:val="en-US"/>
        </w:rPr>
      </w:pPr>
      <w:r w:rsidRPr="00CA3598">
        <w:rPr>
          <w:rFonts w:ascii="Times New Roman" w:hAnsi="Times New Roman" w:cs="Times New Roman"/>
          <w:lang w:val="en-US"/>
        </w:rPr>
        <w:t>By this –i.e. racial discrimination– is meant ‘any distinction, exclusion, restriction or preference based on race, color, descent, or national or ethnic origin which has the purpose or effect of nullifying or impairing the recognition, enjoyment or exercise, on an equal footing, of human rights and fundamental freedoms in the political, economic, social, cultural or any other field of public life’ (</w:t>
      </w:r>
      <w:r w:rsidRPr="00CA3598">
        <w:rPr>
          <w:rFonts w:ascii="Times New Roman" w:hAnsi="Times New Roman" w:cs="Times New Roman"/>
          <w:i/>
          <w:lang w:val="en-US"/>
        </w:rPr>
        <w:t>Article 1</w:t>
      </w:r>
      <w:r w:rsidRPr="00CA3598">
        <w:rPr>
          <w:rFonts w:ascii="Times New Roman" w:hAnsi="Times New Roman" w:cs="Times New Roman"/>
          <w:lang w:val="en-US"/>
        </w:rPr>
        <w:t>). However, it should be noted that the treaty does not include provisions on the matter of sovereign distinctions made between the identification of citizens and non-citizens, as long as these are not discriminatory at their core. Thus, as per Article 5 of the Convention, no discrimination is to be applied with respect to persons’ access to:</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(a) The right to equal treatment before the tribunals and all other organs administering justice;</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(b) The right to security of person and protection by the State against violence or bodily harm, whether inflicted by government officials or by any individual group or institution;</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(c) 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(d) Other civil rights, in particular:</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(i) The right to freedom of movement and residence within the border of the State;</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(ii) The right to leave any country, including one's own, and to return to one's country;</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(iii) The right to nationality;</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(iv) The right to marriage and choice of spouse;</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(v) The right to own property alone as well as in association with others;</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(vi) The right to inherit;</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(vii) The right to freedom of thought, conscience and religion;</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(viii) The right to freedom of opinion and expression;</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(ix) The right to freedom of peaceful assembly and association;</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(e) Economic, social and cultural rights, in particular:</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(i) The rights to work, to free choice of employment, to just and favourable conditions of work, to protection against unemployment, to equal pay for equal work, to just and favourable remuneration;</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lastRenderedPageBreak/>
        <w:t>(ii) The right to form and join trade unions;</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(iii) The right to housing;</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(iv) The right to public health, medical care, social security and social services;</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(v) The right to education and training;</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(vi) The right to equal participation in cultural activities;</w:t>
      </w:r>
    </w:p>
    <w:p w:rsidR="00CA3598" w:rsidRPr="00CA3598" w:rsidRDefault="00CA3598" w:rsidP="00CA3598">
      <w:pPr>
        <w:spacing w:line="240" w:lineRule="auto"/>
        <w:jc w:val="both"/>
        <w:rPr>
          <w:rFonts w:ascii="Times New Roman" w:hAnsi="Times New Roman" w:cs="Times New Roman"/>
          <w:lang w:val="en-US"/>
        </w:rPr>
      </w:pPr>
      <w:r w:rsidRPr="00CA3598">
        <w:rPr>
          <w:rFonts w:ascii="Times New Roman" w:hAnsi="Times New Roman" w:cs="Times New Roman"/>
          <w:lang w:val="en-US"/>
        </w:rPr>
        <w:t>(f) The right of access to any place or service intended for use by the general public, such as transport hotels, restaurants, cafes, theatres and parks.</w:t>
      </w:r>
    </w:p>
    <w:p w:rsidR="00CA3598" w:rsidRPr="00CA3598" w:rsidRDefault="00CA3598" w:rsidP="00CA3598">
      <w:pPr>
        <w:spacing w:after="0" w:line="240" w:lineRule="auto"/>
        <w:rPr>
          <w:lang w:val="en-US"/>
        </w:rPr>
      </w:pPr>
    </w:p>
    <w:tbl>
      <w:tblPr>
        <w:tblStyle w:val="Vilgoslista2jellszn"/>
        <w:tblW w:w="0" w:type="auto"/>
        <w:tblLook w:val="04A0"/>
      </w:tblPr>
      <w:tblGrid>
        <w:gridCol w:w="8516"/>
      </w:tblGrid>
      <w:tr w:rsidR="00CA3598" w:rsidRPr="00595388" w:rsidTr="00D231D8">
        <w:trPr>
          <w:cnfStyle w:val="100000000000"/>
        </w:trPr>
        <w:tc>
          <w:tcPr>
            <w:cnfStyle w:val="001000000000"/>
            <w:tcW w:w="8516" w:type="dxa"/>
          </w:tcPr>
          <w:p w:rsidR="00CA3598" w:rsidRPr="00CA3598" w:rsidRDefault="00CA3598" w:rsidP="00CA3598">
            <w:pPr>
              <w:widowControl w:val="0"/>
              <w:tabs>
                <w:tab w:val="left" w:pos="0"/>
                <w:tab w:val="left" w:pos="220"/>
              </w:tabs>
              <w:autoSpaceDE w:val="0"/>
              <w:autoSpaceDN w:val="0"/>
              <w:adjustRightInd w:val="0"/>
              <w:spacing w:after="213"/>
              <w:rPr>
                <w:rFonts w:ascii="Verdana" w:hAnsi="Verdana" w:cs="Times"/>
                <w:i/>
                <w:iCs/>
                <w:sz w:val="19"/>
                <w:szCs w:val="19"/>
                <w:u w:val="single"/>
              </w:rPr>
            </w:pPr>
            <w:bookmarkStart w:id="23" w:name="_Toc346570269"/>
            <w:r w:rsidRPr="00CA3598">
              <w:rPr>
                <w:rFonts w:ascii="Verdana" w:hAnsi="Verdana" w:cs="Times"/>
                <w:i/>
                <w:iCs/>
                <w:sz w:val="19"/>
                <w:szCs w:val="19"/>
                <w:u w:val="single"/>
              </w:rPr>
              <w:t>Monitoring Body</w:t>
            </w:r>
            <w:bookmarkEnd w:id="23"/>
          </w:p>
          <w:p w:rsidR="00CA3598" w:rsidRPr="00CA3598" w:rsidRDefault="00CA3598" w:rsidP="00CA3598">
            <w:pPr>
              <w:widowControl w:val="0"/>
              <w:tabs>
                <w:tab w:val="left" w:pos="0"/>
                <w:tab w:val="left" w:pos="220"/>
              </w:tabs>
              <w:autoSpaceDE w:val="0"/>
              <w:autoSpaceDN w:val="0"/>
              <w:adjustRightInd w:val="0"/>
              <w:spacing w:after="213"/>
              <w:rPr>
                <w:rFonts w:ascii="Verdana" w:hAnsi="Verdana" w:cs="Times"/>
                <w:i/>
                <w:iCs/>
                <w:sz w:val="19"/>
                <w:szCs w:val="19"/>
              </w:rPr>
            </w:pPr>
            <w:r w:rsidRPr="00CA3598">
              <w:rPr>
                <w:rFonts w:ascii="Verdana" w:hAnsi="Verdana" w:cs="Times"/>
                <w:i/>
                <w:iCs/>
                <w:sz w:val="19"/>
                <w:szCs w:val="19"/>
              </w:rPr>
              <w:tab/>
              <w:t>The Committee on the Elimination of Racial Discrimination (CERD) is the body of independent experts that monitors implementation of the Convention on the Elimination of All Forms of Racial Discrimination by its State parties.</w:t>
            </w:r>
          </w:p>
          <w:p w:rsidR="00CA3598" w:rsidRPr="00CA3598" w:rsidRDefault="00CA3598" w:rsidP="00CA3598">
            <w:pPr>
              <w:widowControl w:val="0"/>
              <w:tabs>
                <w:tab w:val="left" w:pos="0"/>
                <w:tab w:val="left" w:pos="220"/>
              </w:tabs>
              <w:autoSpaceDE w:val="0"/>
              <w:autoSpaceDN w:val="0"/>
              <w:adjustRightInd w:val="0"/>
              <w:spacing w:after="213"/>
              <w:rPr>
                <w:rFonts w:ascii="Verdana" w:hAnsi="Verdana" w:cs="Times"/>
                <w:i/>
                <w:iCs/>
                <w:sz w:val="19"/>
                <w:szCs w:val="19"/>
              </w:rPr>
            </w:pPr>
            <w:r w:rsidRPr="00CA3598">
              <w:rPr>
                <w:rFonts w:ascii="Verdana" w:hAnsi="Verdana" w:cs="Times"/>
                <w:i/>
                <w:iCs/>
                <w:sz w:val="19"/>
                <w:szCs w:val="19"/>
              </w:rPr>
              <w:t>All States parties are obliged to submit regular reports to the Committee on how the rights are being implemented. States must report initially one year after acceding to the Convention and then every two years. The Committee examines each report and addresses its concerns and recommendations to the State party in the form of “concluding observations”.</w:t>
            </w:r>
          </w:p>
          <w:p w:rsidR="00CA3598" w:rsidRPr="00CA3598" w:rsidRDefault="00CA3598" w:rsidP="00CA3598">
            <w:pPr>
              <w:widowControl w:val="0"/>
              <w:tabs>
                <w:tab w:val="left" w:pos="0"/>
                <w:tab w:val="left" w:pos="220"/>
              </w:tabs>
              <w:autoSpaceDE w:val="0"/>
              <w:autoSpaceDN w:val="0"/>
              <w:adjustRightInd w:val="0"/>
              <w:spacing w:after="213"/>
              <w:rPr>
                <w:rFonts w:ascii="Verdana" w:hAnsi="Verdana" w:cs="Times"/>
                <w:i/>
                <w:iCs/>
                <w:sz w:val="19"/>
                <w:szCs w:val="19"/>
                <w:u w:val="single"/>
              </w:rPr>
            </w:pPr>
            <w:r w:rsidRPr="00CA3598">
              <w:rPr>
                <w:rFonts w:ascii="Verdana" w:hAnsi="Verdana" w:cs="Times"/>
                <w:i/>
                <w:iCs/>
                <w:sz w:val="19"/>
                <w:szCs w:val="19"/>
                <w:u w:val="single"/>
              </w:rPr>
              <w:t>Individual Complaints</w:t>
            </w:r>
          </w:p>
          <w:p w:rsidR="00CA3598" w:rsidRPr="00CA3598" w:rsidRDefault="00CA3598" w:rsidP="00CA3598">
            <w:pPr>
              <w:widowControl w:val="0"/>
              <w:tabs>
                <w:tab w:val="left" w:pos="0"/>
                <w:tab w:val="left" w:pos="220"/>
              </w:tabs>
              <w:autoSpaceDE w:val="0"/>
              <w:autoSpaceDN w:val="0"/>
              <w:adjustRightInd w:val="0"/>
              <w:spacing w:after="213"/>
              <w:rPr>
                <w:rFonts w:ascii="Verdana" w:hAnsi="Verdana" w:cs="Times"/>
                <w:i/>
                <w:iCs/>
                <w:sz w:val="19"/>
                <w:szCs w:val="19"/>
              </w:rPr>
            </w:pPr>
            <w:r w:rsidRPr="00CA3598">
              <w:rPr>
                <w:rFonts w:ascii="Verdana" w:hAnsi="Verdana" w:cs="Times"/>
                <w:i/>
                <w:iCs/>
                <w:sz w:val="19"/>
                <w:szCs w:val="19"/>
              </w:rPr>
              <w:tab/>
              <w:t>The Committee on the Elimination of Racial Discrimination (CERD) may consider individual petitions alleging violations of the International Convention on the Elimination of All Forms of Racial Discrimination by States parties who have made the necessary declaration under article 14 of the Convention.</w:t>
            </w:r>
            <w:r w:rsidRPr="00CA3598">
              <w:rPr>
                <w:rFonts w:ascii="Verdana" w:hAnsi="Verdana" w:cs="Times"/>
                <w:i/>
                <w:iCs/>
                <w:sz w:val="19"/>
                <w:szCs w:val="19"/>
                <w:vertAlign w:val="superscript"/>
              </w:rPr>
              <w:footnoteReference w:id="39"/>
            </w:r>
          </w:p>
        </w:tc>
      </w:tr>
    </w:tbl>
    <w:p w:rsidR="00CA3598" w:rsidRPr="00CA3598" w:rsidRDefault="00CA3598" w:rsidP="00CA3598">
      <w:pPr>
        <w:spacing w:after="0" w:line="240" w:lineRule="auto"/>
        <w:rPr>
          <w:lang w:val="en-US"/>
        </w:rPr>
      </w:pPr>
    </w:p>
    <w:p w:rsidR="00CA3598" w:rsidRDefault="00CA3598" w:rsidP="00CA3598">
      <w:pPr>
        <w:rPr>
          <w:lang w:val="en-US"/>
        </w:rPr>
      </w:pPr>
    </w:p>
    <w:p w:rsidR="00CA3598" w:rsidRPr="00CA3598" w:rsidRDefault="00CA3598" w:rsidP="00CA3598">
      <w:pPr>
        <w:rPr>
          <w:lang w:val="en-US"/>
        </w:rPr>
      </w:pPr>
    </w:p>
    <w:p w:rsidR="00CA3598" w:rsidRPr="00CA3598" w:rsidRDefault="008541CA" w:rsidP="00CA3598">
      <w:pPr>
        <w:pStyle w:val="Cmsor2"/>
        <w:rPr>
          <w:lang w:val="en-US"/>
        </w:rPr>
      </w:pPr>
      <w:bookmarkStart w:id="24" w:name="_Toc346544866"/>
      <w:bookmarkStart w:id="25" w:name="_Toc346570271"/>
      <w:bookmarkStart w:id="26" w:name="_Toc490845004"/>
      <w:r>
        <w:rPr>
          <w:lang w:val="en-US"/>
        </w:rPr>
        <w:t>4.</w:t>
      </w:r>
      <w:r w:rsidR="00CA3598" w:rsidRPr="00CA3598">
        <w:rPr>
          <w:lang w:val="en-US"/>
        </w:rPr>
        <w:t>2. European instruments</w:t>
      </w:r>
      <w:bookmarkEnd w:id="24"/>
      <w:bookmarkEnd w:id="25"/>
      <w:bookmarkEnd w:id="26"/>
    </w:p>
    <w:p w:rsidR="00CA3598" w:rsidRPr="00CA3598" w:rsidRDefault="008541CA" w:rsidP="00CA3598">
      <w:pPr>
        <w:pStyle w:val="Cmsor3"/>
        <w:rPr>
          <w:lang w:val="en-US"/>
        </w:rPr>
      </w:pPr>
      <w:bookmarkStart w:id="27" w:name="_Toc346544867"/>
      <w:bookmarkStart w:id="28" w:name="_Toc346570272"/>
      <w:bookmarkStart w:id="29" w:name="_Toc490845005"/>
      <w:r>
        <w:rPr>
          <w:lang w:val="en-US"/>
        </w:rPr>
        <w:t>4.</w:t>
      </w:r>
      <w:r w:rsidR="00CA3598" w:rsidRPr="00CA3598">
        <w:rPr>
          <w:lang w:val="en-US"/>
        </w:rPr>
        <w:t>2.1. European Union</w:t>
      </w:r>
      <w:bookmarkEnd w:id="27"/>
      <w:bookmarkEnd w:id="28"/>
      <w:bookmarkEnd w:id="29"/>
    </w:p>
    <w:p w:rsidR="00CA3598" w:rsidRPr="00CA3598" w:rsidRDefault="008541CA" w:rsidP="00CA3598">
      <w:pPr>
        <w:pStyle w:val="Cmsor4"/>
        <w:rPr>
          <w:lang w:val="en-US"/>
        </w:rPr>
      </w:pPr>
      <w:bookmarkStart w:id="30" w:name="_Toc346570273"/>
      <w:r>
        <w:rPr>
          <w:lang w:val="en-US"/>
        </w:rPr>
        <w:t>4.</w:t>
      </w:r>
      <w:r w:rsidR="00CA3598" w:rsidRPr="00CA3598">
        <w:rPr>
          <w:lang w:val="en-US"/>
        </w:rPr>
        <w:t>2.1.a Article 67(3) of the Treaty on the Functioning of the European Union (TFEU)</w:t>
      </w:r>
      <w:bookmarkEnd w:id="30"/>
    </w:p>
    <w:p w:rsidR="00CA3598" w:rsidRPr="00CA3598" w:rsidRDefault="00CA3598" w:rsidP="00CA3598">
      <w:pPr>
        <w:spacing w:after="0" w:line="240" w:lineRule="auto"/>
        <w:rPr>
          <w:lang w:val="en-US"/>
        </w:rPr>
      </w:pPr>
    </w:p>
    <w:p w:rsidR="00CA3598" w:rsidRPr="00CA3598" w:rsidRDefault="00CA3598" w:rsidP="00CA3598">
      <w:pPr>
        <w:jc w:val="both"/>
        <w:rPr>
          <w:rFonts w:ascii="Times New Roman" w:hAnsi="Times New Roman" w:cs="Times New Roman"/>
          <w:lang w:val="en-US"/>
        </w:rPr>
      </w:pPr>
      <w:r w:rsidRPr="00CA3598">
        <w:rPr>
          <w:rFonts w:ascii="Times New Roman" w:hAnsi="Times New Roman" w:cs="Times New Roman"/>
          <w:lang w:val="en-US"/>
        </w:rPr>
        <w:t>The Union shall endeavor to ensure a high level of security through measures to prevent and combat crime, racism and xenophobia, and through measures for coordination and cooperation between police and judicial authorities and other competent authorities, as well as through the mutual recognition of judgments in criminal matters and, if necessary, through the approximation of criminal laws.</w:t>
      </w:r>
    </w:p>
    <w:p w:rsidR="00CA3598" w:rsidRPr="00CA3598" w:rsidRDefault="00CA3598" w:rsidP="00CA3598">
      <w:pPr>
        <w:spacing w:after="0" w:line="240" w:lineRule="auto"/>
        <w:rPr>
          <w:lang w:val="en-US"/>
        </w:rPr>
      </w:pPr>
    </w:p>
    <w:p w:rsidR="00CA3598" w:rsidRPr="00CA3598" w:rsidRDefault="008541CA" w:rsidP="00CA3598">
      <w:pPr>
        <w:pStyle w:val="Cmsor4"/>
        <w:rPr>
          <w:lang w:val="en-US"/>
        </w:rPr>
      </w:pPr>
      <w:bookmarkStart w:id="31" w:name="_Toc346570277"/>
      <w:r>
        <w:rPr>
          <w:lang w:val="en-US"/>
        </w:rPr>
        <w:lastRenderedPageBreak/>
        <w:t>4.</w:t>
      </w:r>
      <w:r w:rsidR="00CA3598" w:rsidRPr="00CA3598">
        <w:rPr>
          <w:lang w:val="en-US"/>
        </w:rPr>
        <w:t>2.2.a Convention for the Protection of Human Rights and Fundamental Freedoms</w:t>
      </w:r>
      <w:bookmarkEnd w:id="31"/>
      <w:r w:rsidR="00595388">
        <w:rPr>
          <w:lang w:val="en-US"/>
        </w:rPr>
        <w:t xml:space="preserve"> (</w:t>
      </w:r>
      <w:hyperlink r:id="rId29" w:history="1">
        <w:r w:rsidR="00595388" w:rsidRPr="00595388">
          <w:rPr>
            <w:rStyle w:val="Hiperhivatkozs"/>
            <w:lang w:val="en-US"/>
          </w:rPr>
          <w:t>lin</w:t>
        </w:r>
        <w:bookmarkStart w:id="32" w:name="_GoBack"/>
        <w:bookmarkEnd w:id="32"/>
        <w:r w:rsidR="00595388" w:rsidRPr="00595388">
          <w:rPr>
            <w:rStyle w:val="Hiperhivatkozs"/>
            <w:lang w:val="en-US"/>
          </w:rPr>
          <w:t>k</w:t>
        </w:r>
      </w:hyperlink>
      <w:r w:rsidR="00595388">
        <w:rPr>
          <w:lang w:val="en-US"/>
        </w:rPr>
        <w:t>)</w:t>
      </w:r>
    </w:p>
    <w:p w:rsidR="00CA3598" w:rsidRPr="00CA3598" w:rsidRDefault="00CA3598" w:rsidP="00CA3598">
      <w:pPr>
        <w:spacing w:after="0" w:line="240" w:lineRule="auto"/>
        <w:rPr>
          <w:i/>
          <w:u w:val="single"/>
          <w:lang w:val="en-US"/>
        </w:rPr>
      </w:pPr>
      <w:r w:rsidRPr="00CA3598">
        <w:rPr>
          <w:i/>
          <w:u w:val="single"/>
          <w:lang w:val="en-US"/>
        </w:rPr>
        <w:t>Article 14</w:t>
      </w:r>
    </w:p>
    <w:p w:rsidR="00CA3598" w:rsidRPr="00CA3598" w:rsidRDefault="00CA3598" w:rsidP="00CA3598">
      <w:pPr>
        <w:spacing w:after="0" w:line="240" w:lineRule="auto"/>
        <w:rPr>
          <w:i/>
          <w:u w:val="single"/>
          <w:lang w:val="en-US"/>
        </w:rPr>
      </w:pPr>
      <w:r w:rsidRPr="00CA3598">
        <w:rPr>
          <w:i/>
          <w:u w:val="single"/>
          <w:lang w:val="en-US"/>
        </w:rPr>
        <w:t>Prohibition of discrimination</w:t>
      </w:r>
    </w:p>
    <w:p w:rsidR="00CA3598" w:rsidRPr="00CA3598" w:rsidRDefault="00CA3598" w:rsidP="00CA3598">
      <w:pPr>
        <w:spacing w:after="0" w:line="240" w:lineRule="auto"/>
        <w:rPr>
          <w:lang w:val="en-US"/>
        </w:rPr>
      </w:pPr>
    </w:p>
    <w:p w:rsidR="00CA3598" w:rsidRPr="00CA3598" w:rsidRDefault="00CA3598" w:rsidP="00CA3598">
      <w:pPr>
        <w:spacing w:after="0" w:line="240" w:lineRule="auto"/>
        <w:rPr>
          <w:lang w:val="en-US"/>
        </w:rPr>
      </w:pPr>
      <w:r w:rsidRPr="00CA3598">
        <w:rPr>
          <w:lang w:val="en-US"/>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rsidR="00CA3598" w:rsidRPr="00CA3598" w:rsidRDefault="00CA3598" w:rsidP="00CA3598">
      <w:pPr>
        <w:spacing w:after="0" w:line="240" w:lineRule="auto"/>
        <w:rPr>
          <w:lang w:val="en-US"/>
        </w:rPr>
      </w:pPr>
    </w:p>
    <w:p w:rsidR="00CA3598" w:rsidRPr="00CA3598" w:rsidRDefault="008541CA" w:rsidP="00CA3598">
      <w:pPr>
        <w:pStyle w:val="Cmsor4"/>
        <w:rPr>
          <w:lang w:val="en-US"/>
        </w:rPr>
      </w:pPr>
      <w:bookmarkStart w:id="33" w:name="_Toc346570274"/>
      <w:r>
        <w:rPr>
          <w:lang w:val="en-US"/>
        </w:rPr>
        <w:t>4.</w:t>
      </w:r>
      <w:r w:rsidR="00CA3598" w:rsidRPr="00CA3598">
        <w:rPr>
          <w:lang w:val="en-US"/>
        </w:rPr>
        <w:t>2.1.b Council Framework Decision 2008/913/JHA of 28 November 2008 on combating certain forms and expressions of racism and xenophobia by means of criminal law</w:t>
      </w:r>
      <w:bookmarkEnd w:id="33"/>
      <w:r w:rsidR="00CA3598" w:rsidRPr="00CA3598">
        <w:rPr>
          <w:lang w:val="en-US"/>
        </w:rPr>
        <w:t xml:space="preserve"> (</w:t>
      </w:r>
      <w:hyperlink r:id="rId30" w:history="1">
        <w:r w:rsidR="00CA3598" w:rsidRPr="00CA3598">
          <w:rPr>
            <w:color w:val="0000FF" w:themeColor="hyperlink"/>
            <w:u w:val="single"/>
            <w:lang w:val="en-US"/>
          </w:rPr>
          <w:t>link</w:t>
        </w:r>
      </w:hyperlink>
      <w:r w:rsidR="00CA3598" w:rsidRPr="00CA3598">
        <w:rPr>
          <w:lang w:val="en-US"/>
        </w:rPr>
        <w:t>)</w:t>
      </w:r>
    </w:p>
    <w:p w:rsidR="00CA3598" w:rsidRPr="00CA3598" w:rsidRDefault="00CA3598" w:rsidP="00CA3598">
      <w:pPr>
        <w:spacing w:after="0" w:line="240" w:lineRule="auto"/>
        <w:rPr>
          <w:lang w:val="en-US"/>
        </w:rPr>
      </w:pPr>
    </w:p>
    <w:p w:rsidR="00CA3598" w:rsidRPr="00CA3598" w:rsidRDefault="00CA3598" w:rsidP="00CA3598">
      <w:pPr>
        <w:jc w:val="both"/>
        <w:rPr>
          <w:rFonts w:ascii="Times New Roman" w:hAnsi="Times New Roman" w:cs="Times New Roman"/>
          <w:lang w:val="en-US"/>
        </w:rPr>
      </w:pPr>
      <w:r w:rsidRPr="00CA3598">
        <w:rPr>
          <w:rFonts w:ascii="Times New Roman" w:hAnsi="Times New Roman" w:cs="Times New Roman"/>
          <w:lang w:val="en-US"/>
        </w:rPr>
        <w:t>The purpose of the Framework Decision is to ensure that certain serious manifestations of racism and xenophobia are punishable by effective, proportionate and dissuasive criminal penalties throughout the European Union (EU). Furthermore, it aims to improve and encourage judicial cooperation in this field.</w:t>
      </w:r>
    </w:p>
    <w:p w:rsidR="00CA3598" w:rsidRPr="00CA3598" w:rsidRDefault="00CA3598" w:rsidP="00CA3598">
      <w:pPr>
        <w:jc w:val="both"/>
        <w:rPr>
          <w:rFonts w:ascii="Times New Roman" w:hAnsi="Times New Roman" w:cs="Times New Roman"/>
          <w:lang w:val="en-US"/>
        </w:rPr>
      </w:pPr>
      <w:r w:rsidRPr="00CA3598">
        <w:rPr>
          <w:rFonts w:ascii="Times New Roman" w:hAnsi="Times New Roman" w:cs="Times New Roman"/>
          <w:lang w:val="en-US"/>
        </w:rPr>
        <w:t>As a follow-up to </w:t>
      </w:r>
      <w:hyperlink r:id="rId31" w:history="1">
        <w:r w:rsidRPr="00CA3598">
          <w:rPr>
            <w:rFonts w:ascii="Times New Roman" w:hAnsi="Times New Roman" w:cs="Times New Roman"/>
            <w:color w:val="0000FF" w:themeColor="hyperlink"/>
            <w:u w:val="single"/>
            <w:lang w:val="en-US"/>
          </w:rPr>
          <w:t>Joint Action</w:t>
        </w:r>
      </w:hyperlink>
      <w:r w:rsidRPr="00CA3598">
        <w:rPr>
          <w:rFonts w:ascii="Times New Roman" w:hAnsi="Times New Roman" w:cs="Times New Roman"/>
          <w:lang w:val="en-US"/>
        </w:rPr>
        <w:t> </w:t>
      </w:r>
      <w:hyperlink r:id="rId32" w:history="1">
        <w:r w:rsidRPr="00CA3598">
          <w:rPr>
            <w:rFonts w:ascii="Times New Roman" w:hAnsi="Times New Roman" w:cs="Times New Roman"/>
            <w:color w:val="0000FF" w:themeColor="hyperlink"/>
            <w:u w:val="single"/>
            <w:lang w:val="en-US"/>
          </w:rPr>
          <w:t>96/443/JHA</w:t>
        </w:r>
      </w:hyperlink>
      <w:r w:rsidRPr="00CA3598">
        <w:rPr>
          <w:rFonts w:ascii="Times New Roman" w:hAnsi="Times New Roman" w:cs="Times New Roman"/>
          <w:lang w:val="en-US"/>
        </w:rPr>
        <w:t>, the Framework Decision provides for the approximation of laws and regulations of EU countries on offences involving certain manifestations of racism and xenophobia. Certain serious manifestations of racism and xenophobia must constitute an offence in all EU countries and be punishable by effective, proportionate and dissuasive penalties.</w:t>
      </w:r>
    </w:p>
    <w:p w:rsidR="00CA3598" w:rsidRPr="00CA3598" w:rsidRDefault="00CA3598" w:rsidP="00CA3598">
      <w:pPr>
        <w:jc w:val="both"/>
        <w:rPr>
          <w:rFonts w:ascii="Times New Roman" w:hAnsi="Times New Roman" w:cs="Times New Roman"/>
          <w:lang w:val="en-US"/>
        </w:rPr>
      </w:pPr>
      <w:r w:rsidRPr="00CA3598">
        <w:rPr>
          <w:rFonts w:ascii="Times New Roman" w:hAnsi="Times New Roman" w:cs="Times New Roman"/>
          <w:lang w:val="en-US"/>
        </w:rPr>
        <w:tab/>
      </w:r>
      <w:r w:rsidRPr="00CA3598">
        <w:rPr>
          <w:rFonts w:ascii="Times New Roman" w:hAnsi="Times New Roman" w:cs="Times New Roman"/>
          <w:u w:val="single"/>
          <w:lang w:val="en-US"/>
        </w:rPr>
        <w:t>The Framework Decision applies to all offences committed</w:t>
      </w:r>
      <w:r w:rsidRPr="00CA3598">
        <w:rPr>
          <w:rFonts w:ascii="Times New Roman" w:hAnsi="Times New Roman" w:cs="Times New Roman"/>
          <w:lang w:val="en-US"/>
        </w:rPr>
        <w:t>:</w:t>
      </w:r>
    </w:p>
    <w:p w:rsidR="00CA3598" w:rsidRPr="00CA3598" w:rsidRDefault="00CA3598" w:rsidP="00CA3598">
      <w:pPr>
        <w:numPr>
          <w:ilvl w:val="0"/>
          <w:numId w:val="5"/>
        </w:numPr>
        <w:spacing w:after="0" w:line="240" w:lineRule="auto"/>
        <w:jc w:val="both"/>
        <w:rPr>
          <w:rFonts w:ascii="Times New Roman" w:hAnsi="Times New Roman" w:cs="Times New Roman"/>
          <w:lang w:val="en-US"/>
        </w:rPr>
      </w:pPr>
      <w:r w:rsidRPr="00CA3598">
        <w:rPr>
          <w:rFonts w:ascii="Times New Roman" w:hAnsi="Times New Roman" w:cs="Times New Roman"/>
          <w:lang w:val="en-US"/>
        </w:rPr>
        <w:t>within the territory of the European Union (EU), including through an information system;</w:t>
      </w:r>
    </w:p>
    <w:p w:rsidR="00CA3598" w:rsidRPr="00CA3598" w:rsidRDefault="00CA3598" w:rsidP="00CA3598">
      <w:pPr>
        <w:numPr>
          <w:ilvl w:val="0"/>
          <w:numId w:val="5"/>
        </w:numPr>
        <w:spacing w:after="0" w:line="240" w:lineRule="auto"/>
        <w:jc w:val="both"/>
        <w:rPr>
          <w:rFonts w:ascii="Times New Roman" w:hAnsi="Times New Roman" w:cs="Times New Roman"/>
          <w:lang w:val="en-US"/>
        </w:rPr>
      </w:pPr>
      <w:r w:rsidRPr="00CA3598">
        <w:rPr>
          <w:rFonts w:ascii="Times New Roman" w:hAnsi="Times New Roman" w:cs="Times New Roman"/>
          <w:lang w:val="en-US"/>
        </w:rPr>
        <w:t>by a national of an EU country or for the benefit of a legal person established in an EU country. To that end, the Framework Decision provides criteria on how to determine the liability of legal persons.</w:t>
      </w:r>
    </w:p>
    <w:p w:rsidR="00CA3598" w:rsidRPr="00CA3598" w:rsidRDefault="00CA3598" w:rsidP="00CA3598">
      <w:pPr>
        <w:spacing w:after="0" w:line="240" w:lineRule="auto"/>
        <w:ind w:left="720"/>
        <w:jc w:val="both"/>
        <w:rPr>
          <w:rFonts w:ascii="Times New Roman" w:hAnsi="Times New Roman" w:cs="Times New Roman"/>
          <w:lang w:val="en-US"/>
        </w:rPr>
      </w:pPr>
    </w:p>
    <w:p w:rsidR="00CA3598" w:rsidRPr="00CA3598" w:rsidRDefault="00CA3598" w:rsidP="00CA3598">
      <w:pPr>
        <w:jc w:val="both"/>
        <w:rPr>
          <w:u w:val="single"/>
          <w:lang w:val="en-US"/>
        </w:rPr>
      </w:pPr>
      <w:r w:rsidRPr="00CA3598">
        <w:rPr>
          <w:bCs/>
          <w:lang w:val="en-US"/>
        </w:rPr>
        <w:tab/>
      </w:r>
      <w:r w:rsidRPr="00CA3598">
        <w:rPr>
          <w:bCs/>
          <w:u w:val="single"/>
          <w:lang w:val="en-US"/>
        </w:rPr>
        <w:t>Hate speech</w:t>
      </w:r>
    </w:p>
    <w:p w:rsidR="00CA3598" w:rsidRPr="00CA3598" w:rsidRDefault="00CA3598" w:rsidP="00CA3598">
      <w:pPr>
        <w:jc w:val="both"/>
        <w:rPr>
          <w:lang w:val="en-US"/>
        </w:rPr>
      </w:pPr>
      <w:r w:rsidRPr="00CA3598">
        <w:rPr>
          <w:lang w:val="en-US"/>
        </w:rPr>
        <w:t>Certain forms of conduct as outlined below are punishable as criminal offences:</w:t>
      </w:r>
    </w:p>
    <w:p w:rsidR="00CA3598" w:rsidRPr="00CA3598" w:rsidRDefault="00CA3598" w:rsidP="00CA3598">
      <w:pPr>
        <w:numPr>
          <w:ilvl w:val="0"/>
          <w:numId w:val="6"/>
        </w:numPr>
        <w:spacing w:after="0"/>
        <w:jc w:val="both"/>
        <w:rPr>
          <w:rFonts w:ascii="Times New Roman" w:hAnsi="Times New Roman" w:cs="Times New Roman"/>
          <w:lang w:val="en-US"/>
        </w:rPr>
      </w:pPr>
      <w:r w:rsidRPr="00CA3598">
        <w:rPr>
          <w:rFonts w:ascii="Times New Roman" w:hAnsi="Times New Roman" w:cs="Times New Roman"/>
          <w:lang w:val="en-US"/>
        </w:rPr>
        <w:t>public incitement to violence or hatred directed against a group of persons or a member of such a group defined on the basis of race, colour, descent, religion or belief, or national or ethnic origin;</w:t>
      </w:r>
    </w:p>
    <w:p w:rsidR="00CA3598" w:rsidRPr="00CA3598" w:rsidRDefault="00CA3598" w:rsidP="00CA3598">
      <w:pPr>
        <w:numPr>
          <w:ilvl w:val="0"/>
          <w:numId w:val="6"/>
        </w:numPr>
        <w:spacing w:after="0"/>
        <w:jc w:val="both"/>
        <w:rPr>
          <w:rFonts w:ascii="Times New Roman" w:hAnsi="Times New Roman" w:cs="Times New Roman"/>
          <w:lang w:val="en-US"/>
        </w:rPr>
      </w:pPr>
      <w:r w:rsidRPr="00CA3598">
        <w:rPr>
          <w:rFonts w:ascii="Times New Roman" w:hAnsi="Times New Roman" w:cs="Times New Roman"/>
          <w:lang w:val="en-US"/>
        </w:rPr>
        <w:t>the above-mentioned offence when carried out by the public dissemination or distribution of tracts, pictures or other material;</w:t>
      </w:r>
    </w:p>
    <w:p w:rsidR="00CA3598" w:rsidRPr="00CA3598" w:rsidRDefault="00CA3598" w:rsidP="00CA3598">
      <w:pPr>
        <w:numPr>
          <w:ilvl w:val="0"/>
          <w:numId w:val="6"/>
        </w:numPr>
        <w:spacing w:after="0"/>
        <w:jc w:val="both"/>
        <w:rPr>
          <w:rFonts w:ascii="Times New Roman" w:hAnsi="Times New Roman" w:cs="Times New Roman"/>
          <w:lang w:val="en-US"/>
        </w:rPr>
      </w:pPr>
      <w:r w:rsidRPr="00CA3598">
        <w:rPr>
          <w:rFonts w:ascii="Times New Roman" w:hAnsi="Times New Roman" w:cs="Times New Roman"/>
          <w:lang w:val="en-US"/>
        </w:rPr>
        <w:t>publicly condoning, denying or grossly trivialising crimes of genocide, crimes against humanity and war crimes as defined in the Statute of the International Criminal Court (Articles 6, 7 and 8) and crimes defined in Article 6 of the Charter of the International Military Tribunal, when the conduct is carried out in a manner likely to incite violence or hatred against such a group or a member of such a group.</w:t>
      </w:r>
    </w:p>
    <w:p w:rsidR="00CA3598" w:rsidRPr="00CA3598" w:rsidRDefault="00CA3598" w:rsidP="00CA3598">
      <w:pPr>
        <w:numPr>
          <w:ilvl w:val="0"/>
          <w:numId w:val="6"/>
        </w:numPr>
        <w:spacing w:after="0"/>
        <w:jc w:val="both"/>
        <w:rPr>
          <w:rFonts w:ascii="Times New Roman" w:hAnsi="Times New Roman" w:cs="Times New Roman"/>
          <w:lang w:val="en-US"/>
        </w:rPr>
      </w:pPr>
      <w:r w:rsidRPr="00CA3598">
        <w:rPr>
          <w:rFonts w:ascii="Times New Roman" w:hAnsi="Times New Roman" w:cs="Times New Roman"/>
          <w:lang w:val="en-US"/>
        </w:rPr>
        <w:t>Instigating, aiding or abetting in the commission of the above offences is also punishable.</w:t>
      </w:r>
    </w:p>
    <w:p w:rsidR="00CA3598" w:rsidRPr="00CA3598" w:rsidRDefault="00CA3598" w:rsidP="00CA3598">
      <w:pPr>
        <w:spacing w:after="0"/>
        <w:jc w:val="both"/>
        <w:rPr>
          <w:rFonts w:ascii="Times New Roman" w:hAnsi="Times New Roman" w:cs="Times New Roman"/>
          <w:lang w:val="en-US"/>
        </w:rPr>
      </w:pPr>
    </w:p>
    <w:p w:rsidR="00CA3598" w:rsidRPr="00CA3598" w:rsidRDefault="00CA3598" w:rsidP="00CA3598">
      <w:pPr>
        <w:jc w:val="both"/>
        <w:rPr>
          <w:rFonts w:ascii="Times New Roman" w:hAnsi="Times New Roman" w:cs="Times New Roman"/>
          <w:lang w:val="en-US"/>
        </w:rPr>
      </w:pPr>
      <w:r w:rsidRPr="00CA3598">
        <w:rPr>
          <w:rFonts w:ascii="Times New Roman" w:hAnsi="Times New Roman" w:cs="Times New Roman"/>
          <w:lang w:val="en-US"/>
        </w:rPr>
        <w:t>With regard to these offences listed, EU countries must ensure that they are punishable by:</w:t>
      </w:r>
    </w:p>
    <w:p w:rsidR="00CA3598" w:rsidRPr="00CA3598" w:rsidRDefault="00CA3598" w:rsidP="00CA3598">
      <w:pPr>
        <w:numPr>
          <w:ilvl w:val="0"/>
          <w:numId w:val="7"/>
        </w:numPr>
        <w:spacing w:after="0"/>
        <w:jc w:val="both"/>
        <w:rPr>
          <w:rFonts w:ascii="Times New Roman" w:hAnsi="Times New Roman" w:cs="Times New Roman"/>
          <w:lang w:val="en-US"/>
        </w:rPr>
      </w:pPr>
      <w:r w:rsidRPr="00CA3598">
        <w:rPr>
          <w:rFonts w:ascii="Times New Roman" w:hAnsi="Times New Roman" w:cs="Times New Roman"/>
          <w:lang w:val="en-US"/>
        </w:rPr>
        <w:t>effective, proportionate and dissuasive penalties;</w:t>
      </w:r>
    </w:p>
    <w:p w:rsidR="00CA3598" w:rsidRPr="00CA3598" w:rsidRDefault="00CA3598" w:rsidP="00CA3598">
      <w:pPr>
        <w:numPr>
          <w:ilvl w:val="0"/>
          <w:numId w:val="7"/>
        </w:numPr>
        <w:spacing w:after="0"/>
        <w:jc w:val="both"/>
        <w:rPr>
          <w:rFonts w:ascii="Times New Roman" w:hAnsi="Times New Roman" w:cs="Times New Roman"/>
          <w:lang w:val="en-US"/>
        </w:rPr>
      </w:pPr>
      <w:r w:rsidRPr="00CA3598">
        <w:rPr>
          <w:rFonts w:ascii="Times New Roman" w:hAnsi="Times New Roman" w:cs="Times New Roman"/>
          <w:lang w:val="en-US"/>
        </w:rPr>
        <w:lastRenderedPageBreak/>
        <w:t>a term of imprisonment of a maximum of at least one year.</w:t>
      </w:r>
    </w:p>
    <w:p w:rsidR="00CA3598" w:rsidRPr="00CA3598" w:rsidRDefault="00CA3598" w:rsidP="00CA3598">
      <w:pPr>
        <w:spacing w:after="0"/>
        <w:ind w:left="720"/>
        <w:jc w:val="both"/>
        <w:rPr>
          <w:rFonts w:ascii="Times New Roman" w:hAnsi="Times New Roman" w:cs="Times New Roman"/>
          <w:lang w:val="en-US"/>
        </w:rPr>
      </w:pPr>
    </w:p>
    <w:p w:rsidR="00CA3598" w:rsidRPr="00CA3598" w:rsidRDefault="00CA3598" w:rsidP="00CA3598">
      <w:pPr>
        <w:jc w:val="both"/>
        <w:rPr>
          <w:rFonts w:ascii="Times New Roman" w:hAnsi="Times New Roman" w:cs="Times New Roman"/>
          <w:lang w:val="en-US"/>
        </w:rPr>
      </w:pPr>
      <w:r w:rsidRPr="00CA3598">
        <w:rPr>
          <w:rFonts w:ascii="Times New Roman" w:hAnsi="Times New Roman" w:cs="Times New Roman"/>
          <w:lang w:val="en-US"/>
        </w:rPr>
        <w:t>With regard to legal persons, the penalties must be effective, proportionate and dissuasive and must consist of criminal or non-criminal fines. In addition, legal persons may be punished by:</w:t>
      </w:r>
    </w:p>
    <w:p w:rsidR="00CA3598" w:rsidRPr="00CA3598" w:rsidRDefault="00CA3598" w:rsidP="00CA3598">
      <w:pPr>
        <w:numPr>
          <w:ilvl w:val="0"/>
          <w:numId w:val="8"/>
        </w:numPr>
        <w:spacing w:after="0"/>
        <w:jc w:val="both"/>
        <w:rPr>
          <w:rFonts w:ascii="Times New Roman" w:hAnsi="Times New Roman" w:cs="Times New Roman"/>
          <w:lang w:val="en-US"/>
        </w:rPr>
      </w:pPr>
      <w:r w:rsidRPr="00CA3598">
        <w:rPr>
          <w:rFonts w:ascii="Times New Roman" w:hAnsi="Times New Roman" w:cs="Times New Roman"/>
          <w:lang w:val="en-US"/>
        </w:rPr>
        <w:t>exclusion from entitlement to public benefits or aid;</w:t>
      </w:r>
    </w:p>
    <w:p w:rsidR="00CA3598" w:rsidRPr="00CA3598" w:rsidRDefault="00CA3598" w:rsidP="00CA3598">
      <w:pPr>
        <w:numPr>
          <w:ilvl w:val="0"/>
          <w:numId w:val="8"/>
        </w:numPr>
        <w:spacing w:after="0"/>
        <w:jc w:val="both"/>
        <w:rPr>
          <w:rFonts w:ascii="Times New Roman" w:hAnsi="Times New Roman" w:cs="Times New Roman"/>
          <w:lang w:val="en-US"/>
        </w:rPr>
      </w:pPr>
      <w:r w:rsidRPr="00CA3598">
        <w:rPr>
          <w:rFonts w:ascii="Times New Roman" w:hAnsi="Times New Roman" w:cs="Times New Roman"/>
          <w:lang w:val="en-US"/>
        </w:rPr>
        <w:t>temporary or permanent disqualification from the practice or commercial activities;</w:t>
      </w:r>
    </w:p>
    <w:p w:rsidR="00CA3598" w:rsidRPr="00CA3598" w:rsidRDefault="00CA3598" w:rsidP="00CA3598">
      <w:pPr>
        <w:numPr>
          <w:ilvl w:val="0"/>
          <w:numId w:val="8"/>
        </w:numPr>
        <w:spacing w:after="0"/>
        <w:jc w:val="both"/>
        <w:rPr>
          <w:rFonts w:ascii="Times New Roman" w:hAnsi="Times New Roman" w:cs="Times New Roman"/>
          <w:lang w:val="en-US"/>
        </w:rPr>
      </w:pPr>
      <w:r w:rsidRPr="00CA3598">
        <w:rPr>
          <w:rFonts w:ascii="Times New Roman" w:hAnsi="Times New Roman" w:cs="Times New Roman"/>
          <w:lang w:val="en-US"/>
        </w:rPr>
        <w:t>being placed under judicial supervision;</w:t>
      </w:r>
    </w:p>
    <w:p w:rsidR="00CA3598" w:rsidRPr="00CA3598" w:rsidRDefault="00CA3598" w:rsidP="00CA3598">
      <w:pPr>
        <w:numPr>
          <w:ilvl w:val="0"/>
          <w:numId w:val="8"/>
        </w:numPr>
        <w:spacing w:after="0"/>
        <w:jc w:val="both"/>
        <w:rPr>
          <w:rFonts w:ascii="Times New Roman" w:hAnsi="Times New Roman" w:cs="Times New Roman"/>
          <w:lang w:val="en-US"/>
        </w:rPr>
      </w:pPr>
      <w:r w:rsidRPr="00CA3598">
        <w:rPr>
          <w:rFonts w:ascii="Times New Roman" w:hAnsi="Times New Roman" w:cs="Times New Roman"/>
          <w:lang w:val="en-US"/>
        </w:rPr>
        <w:t>a judicial winding-up order.</w:t>
      </w:r>
    </w:p>
    <w:p w:rsidR="00CA3598" w:rsidRPr="00CA3598" w:rsidRDefault="00CA3598" w:rsidP="00CA3598">
      <w:pPr>
        <w:jc w:val="both"/>
        <w:rPr>
          <w:rFonts w:ascii="Times New Roman" w:hAnsi="Times New Roman" w:cs="Times New Roman"/>
          <w:lang w:val="en-US"/>
        </w:rPr>
      </w:pPr>
      <w:r w:rsidRPr="00CA3598">
        <w:rPr>
          <w:rFonts w:ascii="Times New Roman" w:hAnsi="Times New Roman" w:cs="Times New Roman"/>
          <w:lang w:val="en-US"/>
        </w:rPr>
        <w:tab/>
        <w:t>The initiation of investigations or prosecutions of racist and xenophobic offences must not depend on a victim’s report or accusation.</w:t>
      </w:r>
    </w:p>
    <w:p w:rsidR="00CA3598" w:rsidRPr="00CA3598" w:rsidRDefault="00CA3598" w:rsidP="00CA3598">
      <w:pPr>
        <w:jc w:val="both"/>
        <w:rPr>
          <w:rFonts w:ascii="Times New Roman" w:hAnsi="Times New Roman" w:cs="Times New Roman"/>
          <w:u w:val="single"/>
          <w:lang w:val="en-US"/>
        </w:rPr>
      </w:pPr>
      <w:r w:rsidRPr="00CA3598">
        <w:rPr>
          <w:rFonts w:ascii="Times New Roman" w:hAnsi="Times New Roman" w:cs="Times New Roman"/>
          <w:bCs/>
          <w:lang w:val="en-US"/>
        </w:rPr>
        <w:tab/>
      </w:r>
      <w:r w:rsidRPr="00CA3598">
        <w:rPr>
          <w:rFonts w:ascii="Times New Roman" w:hAnsi="Times New Roman" w:cs="Times New Roman"/>
          <w:bCs/>
          <w:u w:val="single"/>
          <w:lang w:val="en-US"/>
        </w:rPr>
        <w:t>Hate crime</w:t>
      </w:r>
    </w:p>
    <w:p w:rsidR="00CA3598" w:rsidRPr="00CA3598" w:rsidRDefault="00CA3598" w:rsidP="00CA3598">
      <w:pPr>
        <w:jc w:val="both"/>
        <w:rPr>
          <w:rFonts w:ascii="Times New Roman" w:hAnsi="Times New Roman" w:cs="Times New Roman"/>
          <w:lang w:val="en-US"/>
        </w:rPr>
      </w:pPr>
      <w:r w:rsidRPr="00CA3598">
        <w:rPr>
          <w:rFonts w:ascii="Times New Roman" w:hAnsi="Times New Roman" w:cs="Times New Roman"/>
          <w:lang w:val="en-US"/>
        </w:rPr>
        <w:t>In all cases, racist or xenophobic motivation shall be considered to be an aggravating circumstance or, alternatively, the courts must be empowered to take such motivation into consideration when determining the penalties to be applied.</w:t>
      </w:r>
    </w:p>
    <w:p w:rsidR="00CA3598" w:rsidRPr="00CA3598" w:rsidRDefault="00CA3598" w:rsidP="00CA3598">
      <w:pPr>
        <w:jc w:val="both"/>
        <w:rPr>
          <w:rFonts w:ascii="Times New Roman" w:eastAsia="Times New Roman" w:hAnsi="Times New Roman" w:cs="Times New Roman"/>
          <w:bCs/>
          <w:color w:val="000000"/>
          <w:lang w:val="en-US"/>
        </w:rPr>
      </w:pPr>
      <w:r w:rsidRPr="00CA3598">
        <w:rPr>
          <w:rFonts w:ascii="Times New Roman" w:eastAsia="Times New Roman" w:hAnsi="Times New Roman" w:cs="Times New Roman"/>
          <w:bCs/>
          <w:color w:val="000000"/>
          <w:lang w:val="en-US"/>
        </w:rPr>
        <w:t>According to the Report from the Commission to the European Parliament and the Council on the implementation of Council Framework Decision 2008/913/JHA on combating certain forms and expressions of racism and xenophobia by means of criminal law [</w:t>
      </w:r>
      <w:r w:rsidRPr="00CA3598">
        <w:rPr>
          <w:rFonts w:ascii="Times New Roman" w:eastAsia="Times New Roman" w:hAnsi="Times New Roman" w:cs="Times New Roman"/>
          <w:color w:val="000000"/>
          <w:lang w:val="en-US"/>
        </w:rPr>
        <w:t> </w:t>
      </w:r>
      <w:hyperlink r:id="rId33" w:history="1">
        <w:r w:rsidRPr="00CA3598">
          <w:rPr>
            <w:rFonts w:ascii="Times New Roman" w:eastAsia="Times New Roman" w:hAnsi="Times New Roman" w:cs="Times New Roman"/>
            <w:color w:val="0000FF" w:themeColor="hyperlink"/>
            <w:u w:val="single"/>
            <w:lang w:val="en-US"/>
          </w:rPr>
          <w:t>COM(2014) 27 final</w:t>
        </w:r>
      </w:hyperlink>
      <w:r w:rsidRPr="00CA3598">
        <w:rPr>
          <w:rFonts w:ascii="Times New Roman" w:eastAsia="Times New Roman" w:hAnsi="Times New Roman" w:cs="Times New Roman"/>
          <w:color w:val="000000"/>
          <w:lang w:val="en-US"/>
        </w:rPr>
        <w:t> </w:t>
      </w:r>
      <w:r w:rsidRPr="00CA3598">
        <w:rPr>
          <w:rFonts w:ascii="Times New Roman" w:eastAsia="Times New Roman" w:hAnsi="Times New Roman" w:cs="Times New Roman"/>
          <w:bCs/>
          <w:color w:val="000000"/>
          <w:lang w:val="en-US"/>
        </w:rPr>
        <w:t>of 27.1.2014 - not published in the Official Journal], it appears that a number of Member States have not transposed fully and/or correctly all the provisions of the Framework Decision, namely in relation to the offences of denying, condoning and grossly trivialising certain crimes. The majority of Member States have provisions on incitement to racist and xenophobic violence and hatred but these do not always seem to fully transpose the offences covered by the Framework Decision. Some gaps have also been observed in relation to the racist and xenophobic motivation of crimes, the liability of legal persons and jurisdiction.</w:t>
      </w:r>
      <w:r w:rsidRPr="00CA3598">
        <w:rPr>
          <w:rFonts w:ascii="Times New Roman" w:eastAsia="Times New Roman" w:hAnsi="Times New Roman" w:cs="Times New Roman"/>
          <w:bCs/>
          <w:color w:val="000000"/>
          <w:vertAlign w:val="superscript"/>
          <w:lang w:val="en-US"/>
        </w:rPr>
        <w:footnoteReference w:id="40"/>
      </w:r>
      <w:r w:rsidRPr="00CA3598">
        <w:rPr>
          <w:rFonts w:ascii="Times New Roman" w:eastAsia="Times New Roman" w:hAnsi="Times New Roman" w:cs="Times New Roman"/>
          <w:bCs/>
          <w:color w:val="000000"/>
          <w:lang w:val="en-US"/>
        </w:rPr>
        <w:tab/>
      </w:r>
    </w:p>
    <w:p w:rsidR="00CA3598" w:rsidRPr="00CA3598" w:rsidRDefault="00CA3598" w:rsidP="00CA3598">
      <w:pPr>
        <w:jc w:val="both"/>
        <w:rPr>
          <w:rFonts w:ascii="Times New Roman" w:eastAsia="Times New Roman" w:hAnsi="Times New Roman" w:cs="Times New Roman"/>
          <w:bCs/>
          <w:color w:val="000000"/>
          <w:lang w:val="hu-HU"/>
        </w:rPr>
      </w:pPr>
      <w:r w:rsidRPr="00CA3598">
        <w:rPr>
          <w:rFonts w:ascii="Times New Roman" w:eastAsia="Times New Roman" w:hAnsi="Times New Roman" w:cs="Times New Roman"/>
          <w:bCs/>
          <w:color w:val="000000"/>
          <w:lang w:val="hu-HU"/>
        </w:rPr>
        <w:t>Overall, states have tended to implement different approaches in the consideration of hate crimes. Amongst others, providing for hate crimes as sui generis crimes of the penal law, including provisinos pertaining to penalty enhancements, when crimes are perpetrated with a bias motivation, or adopting mixted approaches bewteen tehse limits of substantive offences and penalty enhancements. Importantly, however, –and irrelevantly of the approach adpoted by member states–  prosecuting bias-motivated crimes as distinct from ordinary crimes is an obligation not perinent upon the explicit existence of hate crimes-specific legislation.</w:t>
      </w:r>
      <w:r w:rsidRPr="00CA3598">
        <w:rPr>
          <w:rFonts w:ascii="Times New Roman" w:eastAsia="Times New Roman" w:hAnsi="Times New Roman" w:cs="Times New Roman"/>
          <w:bCs/>
          <w:color w:val="000000"/>
          <w:vertAlign w:val="superscript"/>
          <w:lang w:val="hu-HU"/>
        </w:rPr>
        <w:footnoteReference w:id="41"/>
      </w:r>
    </w:p>
    <w:p w:rsidR="00CA3598" w:rsidRPr="00CA3598" w:rsidRDefault="008541CA" w:rsidP="00CA3598">
      <w:pPr>
        <w:pStyle w:val="Cmsor4"/>
        <w:rPr>
          <w:lang w:val="en-US"/>
        </w:rPr>
      </w:pPr>
      <w:bookmarkStart w:id="34" w:name="_Toc346570275"/>
      <w:r>
        <w:rPr>
          <w:lang w:val="en-US"/>
        </w:rPr>
        <w:t>4.</w:t>
      </w:r>
      <w:r w:rsidR="00CA3598" w:rsidRPr="00CA3598">
        <w:rPr>
          <w:lang w:val="en-US"/>
        </w:rPr>
        <w:t>2.1.c Directive 2012/29/EU of the European Parliament and of the Council of 25 October 2012 establishing minimum standards on the rights, support and protection of victims of crime, and replacing Council Framework Decision 2001/220/JHA</w:t>
      </w:r>
      <w:bookmarkEnd w:id="34"/>
    </w:p>
    <w:p w:rsidR="00CA3598" w:rsidRPr="00CA3598" w:rsidRDefault="00CA3598" w:rsidP="00CA3598">
      <w:pPr>
        <w:rPr>
          <w:rFonts w:eastAsia="Times New Roman" w:cs="Times New Roman"/>
          <w:lang w:val="en-US"/>
        </w:rPr>
      </w:pPr>
    </w:p>
    <w:p w:rsidR="00CA3598" w:rsidRPr="00CA3598" w:rsidRDefault="00CA3598" w:rsidP="00CA3598">
      <w:pPr>
        <w:rPr>
          <w:rFonts w:eastAsia="Times New Roman" w:cs="Times New Roman"/>
          <w:i/>
          <w:u w:val="single"/>
          <w:lang w:val="en-US"/>
        </w:rPr>
      </w:pPr>
      <w:r w:rsidRPr="00CA3598">
        <w:rPr>
          <w:rFonts w:eastAsia="Times New Roman" w:cs="Times New Roman"/>
          <w:i/>
          <w:u w:val="single"/>
          <w:lang w:val="en-US"/>
        </w:rPr>
        <w:lastRenderedPageBreak/>
        <w:t>Article 22(3)</w:t>
      </w:r>
    </w:p>
    <w:p w:rsidR="00CA3598" w:rsidRPr="00CA3598" w:rsidRDefault="00CA3598" w:rsidP="00CA3598">
      <w:pPr>
        <w:rPr>
          <w:lang w:val="en-US"/>
        </w:rPr>
      </w:pPr>
      <w:r w:rsidRPr="00CA3598">
        <w:rPr>
          <w:lang w:val="en-US"/>
        </w:rPr>
        <w:t>In the context of the individual assessment, particular attention shall be paid to victims who have suffered considerable harm due to the severity of the crime; victims who have suffered a crime committed with a bias or discriminatory motive which could, in particular, be related to their personal characteristics; victims whose relationship to and dependence on the offender make them particularly vulnerable. In this regard, victims of terrorism, organised crime, human trafficking, gender-based violence, violence in a close relationship, sexual violence, exploitation or hate crime, and victims with disabilities shall be duly considered.</w:t>
      </w:r>
      <w:r w:rsidRPr="00CA3598">
        <w:rPr>
          <w:vertAlign w:val="superscript"/>
          <w:lang w:val="en-US"/>
        </w:rPr>
        <w:footnoteReference w:id="42"/>
      </w:r>
    </w:p>
    <w:p w:rsidR="00CA3598" w:rsidRPr="00CA3598" w:rsidRDefault="00CA3598" w:rsidP="00CA3598">
      <w:pPr>
        <w:rPr>
          <w:lang w:val="en-US"/>
        </w:rPr>
      </w:pPr>
      <w:r w:rsidRPr="00CA3598">
        <w:rPr>
          <w:lang w:val="en-US"/>
        </w:rPr>
        <w:t>Importantly, however, the implementation of this Directive faces a series of challenges, amongst which the very fact that, according to professionals, victims of hate crimes seem to usually be reluctant to report the offence. Amongst the reasons for this reluctance are their own (i.e. the victims’) or the police and judiciary’s lack of awareness as to what hate crimes are, or their very fear that upon submitting a report they would be treated in a similar, discriminatory, manner, as that enacted by the offender(s); this time, however, by state officials.</w:t>
      </w:r>
      <w:r w:rsidRPr="00CA3598">
        <w:rPr>
          <w:vertAlign w:val="superscript"/>
          <w:lang w:val="en-US"/>
        </w:rPr>
        <w:footnoteReference w:id="43"/>
      </w:r>
    </w:p>
    <w:p w:rsidR="00CA3598" w:rsidRPr="00CA3598" w:rsidRDefault="00CA3598" w:rsidP="00CA3598">
      <w:pPr>
        <w:rPr>
          <w:lang w:val="en-US"/>
        </w:rPr>
      </w:pPr>
    </w:p>
    <w:p w:rsidR="008541CA" w:rsidRPr="008541CA" w:rsidRDefault="008541CA" w:rsidP="008541CA">
      <w:pPr>
        <w:pStyle w:val="Cmsor3"/>
        <w:rPr>
          <w:lang w:val="en-US"/>
        </w:rPr>
      </w:pPr>
      <w:bookmarkStart w:id="35" w:name="_Toc346544868"/>
      <w:bookmarkStart w:id="36" w:name="_Toc346570276"/>
      <w:bookmarkStart w:id="37" w:name="_Toc490845006"/>
      <w:r>
        <w:rPr>
          <w:lang w:val="en-US"/>
        </w:rPr>
        <w:t>4.</w:t>
      </w:r>
      <w:r w:rsidR="00CA3598" w:rsidRPr="00CA3598">
        <w:rPr>
          <w:lang w:val="en-US"/>
        </w:rPr>
        <w:t>2.2. Council of Europe</w:t>
      </w:r>
      <w:bookmarkEnd w:id="35"/>
      <w:bookmarkEnd w:id="36"/>
      <w:bookmarkEnd w:id="37"/>
    </w:p>
    <w:p w:rsidR="00CA3598" w:rsidRPr="00CA3598" w:rsidRDefault="008541CA" w:rsidP="00CA3598">
      <w:pPr>
        <w:pStyle w:val="Cmsor4"/>
        <w:rPr>
          <w:lang w:val="en-US"/>
        </w:rPr>
      </w:pPr>
      <w:bookmarkStart w:id="38" w:name="_Toc346570279"/>
      <w:r>
        <w:rPr>
          <w:lang w:val="en-US"/>
        </w:rPr>
        <w:t>4.</w:t>
      </w:r>
      <w:r w:rsidR="00CA3598" w:rsidRPr="00CA3598">
        <w:rPr>
          <w:lang w:val="en-US"/>
        </w:rPr>
        <w:t>2</w:t>
      </w:r>
      <w:r>
        <w:rPr>
          <w:lang w:val="en-US"/>
        </w:rPr>
        <w:t>.2.a</w:t>
      </w:r>
      <w:r w:rsidR="00CA3598" w:rsidRPr="00CA3598">
        <w:rPr>
          <w:lang w:val="en-US"/>
        </w:rPr>
        <w:t xml:space="preserve"> ECRI</w:t>
      </w:r>
      <w:bookmarkEnd w:id="38"/>
    </w:p>
    <w:p w:rsidR="00CA3598" w:rsidRPr="00CA3598" w:rsidRDefault="00CA3598" w:rsidP="00CA3598">
      <w:pPr>
        <w:rPr>
          <w:lang w:val="en-US"/>
        </w:rPr>
      </w:pPr>
      <w:r w:rsidRPr="00CA3598">
        <w:rPr>
          <w:lang w:val="en-US"/>
        </w:rPr>
        <w:t xml:space="preserve">ECRI is a human rights body of the Council of Europe, composed of independent experts, which monitors problems of racism, xenophobia, antisemitism, intolerance and discrimination on grounds such as “race”, national/ethnic origin, colour, citizenship, religion and language (racial discrimination); it prepares reports and issues recommendations to member States. </w:t>
      </w:r>
      <w:r w:rsidRPr="00CA3598">
        <w:rPr>
          <w:vertAlign w:val="superscript"/>
          <w:lang w:val="fr-FR"/>
        </w:rPr>
        <w:footnoteReference w:id="44"/>
      </w:r>
    </w:p>
    <w:p w:rsidR="00CA3598" w:rsidRPr="00CA3598" w:rsidRDefault="00CA3598" w:rsidP="00CA359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imes New Roman"/>
          <w:sz w:val="20"/>
          <w:szCs w:val="20"/>
          <w:lang w:val="en-US"/>
        </w:rPr>
      </w:pPr>
      <w:r w:rsidRPr="00CA3598">
        <w:rPr>
          <w:rFonts w:eastAsia="Times New Roman" w:cs="Arial"/>
          <w:shd w:val="clear" w:color="auto" w:fill="FFFFFF"/>
          <w:lang w:val="en-US"/>
        </w:rPr>
        <w:t>ECRI elaborates General Policy Recommendations (GPR) addressed to the governments of all member States. They provide detailed guidelines which policy-makers are invited to use when drawing up national strategies and policies in a variety of fields. </w:t>
      </w:r>
      <w:r w:rsidRPr="00CA3598">
        <w:rPr>
          <w:rFonts w:eastAsia="Times New Roman" w:cs="Arial"/>
          <w:lang w:val="en-US"/>
        </w:rPr>
        <w:br/>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19" name="Picture 18"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00D17625" w:rsidRPr="00D17625">
        <w:rPr>
          <w:rFonts w:eastAsia="Times New Roman" w:cs="Times New Roman"/>
          <w:noProof/>
          <w:sz w:val="20"/>
          <w:szCs w:val="20"/>
        </w:rPr>
      </w:r>
      <w:r w:rsidR="00D17625" w:rsidRPr="00D17625">
        <w:rPr>
          <w:rFonts w:eastAsia="Times New Roman" w:cs="Times New Roman"/>
          <w:noProof/>
          <w:sz w:val="20"/>
          <w:szCs w:val="20"/>
        </w:rPr>
        <w:pict>
          <v:rect id="AutoShape 1" o:spid="_x0000_s1058" alt="http://www.coe.int/t/dghl/monitoring/ecri/activities/GeneralThemes_en-triangle_framboise-1.jpg" style="width:10.3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EB+gIAAB4GAAAOAAAAZHJzL2Uyb0RvYy54bWysVE1v2zAMvQ/YfxB0d/xR58NGnaKNk2JA&#10;txVody4UWba12ZInKXG6Yf99lJykSbvTNh8MSZQeH8lHXl7t2gZtmdJcigyHowAjJqgsuKgy/OVx&#10;5c0w0oaIgjRSsAw/M42v5u/fXfZdyiJZy6ZgCgGI0GnfZbg2pkt9X9OatUSPZMcEGEupWmJgqyq/&#10;UKQH9LbxoyCY+L1URackZVrDaT4Y8dzhlyWj5nNZamZQk2HgZtxfuf/a/v35JUkrRbqa0z0N8hcs&#10;WsIFOD1C5cQQtFH8DVTLqZJalmZEZevLsuSUuRggmjB4Fc1DTTrmYoHk6O6YJv3/YOmn7b1CvMhw&#10;hJEgLZToemOk84xCjAqmKaRrX5a+74E3G3FhfOMXVd34rRTcSAW59xlV3CfU8C03nGn/lgmmSPMI&#10;pWT6iQnPKE5E1bCnUpF2LblmXjj62lW2Cn2nUyDz0N0rm0fd3Un6TSMhFzW8Yde6g1qCwoDl4Ugp&#10;2deMFJCO0EL4Zxh2owENrfuPsoC4CMTlarQrVWt9QPbRzknh+SgFtjOIwmF4EcxCEAwF035tPZD0&#10;8LhT2twy2SK7yLACdg6cbO+0Ga4erlhfQq5408A5SRtxdgCYwwm4hqfWZkk48fxMgmQ5W85iL44m&#10;Sy8O8ty7Xi1ib7IKp+P8Il8s8vCX9RvGac2Lggnr5iDkMD5W7tBQf9TfvqUGCR6lrGXDCwtnKWlV&#10;rReNQlsCjbRyn0s5WF6u+ec0XL4gllchhVEc3ESJt5rMpl68isdeMg1mXhAmN8kkiJM4X52HdMcF&#10;+/eQUJ/hZByNXZVOSL+KLXDf29hI2nIDo6rhbYZnx0sktQpcisKV1hDeDOuTVFj6L6mAch8K7fRq&#10;JTqofy2LZ5CrkiAnUB4MVVjUUv3AqIcBlWH9fUMUw6j5IEDySRjHdqK5TTyeRrBRp5b1qYUIClAZ&#10;NhgNy4UZpuCmU7yqwVPoEiOkbf+SOwnbFhpY7ZsLhpCLZD8w7ZQ73btbL2N9/hsAAP//AwBQSwME&#10;FAAGAAgAAAAhAJ0dRPrZAAAAAwEAAA8AAABkcnMvZG93bnJldi54bWxMj0FLw0AQhe+C/2EZwYvY&#10;jT0UidkUKYhFhGKqPU+z0yQ0O5tmt0n894560Ms8hje89022nFyrBupD49nA3SwBRVx623Bl4H37&#10;dHsPKkRki61nMvBJAZb55UWGqfUjv9FQxEpJCIcUDdQxdqnWoazJYZj5jli8g+8dRln7StseRwl3&#10;rZ4nyUI7bFgaauxoVVN5LM7OwFhuht329VlvbnZrz6f1aVV8vBhzfTU9PoCKNMW/Y/jGF3TIhWnv&#10;z2yDag3II/FnijdPFqD2v6rzTP9nz78AAAD//wMAUEsBAi0AFAAGAAgAAAAhALaDOJL+AAAA4QEA&#10;ABMAAAAAAAAAAAAAAAAAAAAAAFtDb250ZW50X1R5cGVzXS54bWxQSwECLQAUAAYACAAAACEAOP0h&#10;/9YAAACUAQAACwAAAAAAAAAAAAAAAAAvAQAAX3JlbHMvLnJlbHNQSwECLQAUAAYACAAAACEAR0yB&#10;AfoCAAAeBgAADgAAAAAAAAAAAAAAAAAuAgAAZHJzL2Uyb0RvYy54bWxQSwECLQAUAAYACAAAACEA&#10;nR1E+tkAAAADAQAADwAAAAAAAAAAAAAAAABUBQAAZHJzL2Rvd25yZXYueG1sUEsFBgAAAAAEAAQA&#10;8wAAAFoGAAAAAA==&#10;" filled="f" stroked="f">
            <o:lock v:ext="edit" aspectratio="t"/>
            <w10:wrap type="none"/>
            <w10:anchorlock/>
          </v:rect>
        </w:pict>
      </w:r>
      <w:r w:rsidRPr="00CA3598">
        <w:rPr>
          <w:rFonts w:eastAsia="Times New Roman" w:cs="Times New Roman"/>
          <w:color w:val="444444"/>
          <w:shd w:val="clear" w:color="auto" w:fill="FFFFFF"/>
          <w:lang w:val="en-US"/>
        </w:rPr>
        <w:t> </w:t>
      </w:r>
      <w:hyperlink r:id="rId35" w:history="1">
        <w:r w:rsidRPr="00CA3598">
          <w:rPr>
            <w:rFonts w:eastAsia="Times New Roman" w:cs="Times New Roman"/>
            <w:color w:val="0066CC"/>
            <w:sz w:val="20"/>
            <w:szCs w:val="20"/>
            <w:u w:val="single"/>
            <w:shd w:val="clear" w:color="auto" w:fill="FFFFFF"/>
            <w:lang w:val="en-US"/>
          </w:rPr>
          <w:t>ECRI General Policy Recommendation No.1:</w:t>
        </w:r>
      </w:hyperlink>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shd w:val="clear" w:color="auto" w:fill="FFFFFF"/>
          <w:lang w:val="en-US"/>
        </w:rPr>
        <w:t>Combating racism, xenophobia, antisemitism and intolerance</w:t>
      </w:r>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20" name="Picture 17"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00D17625" w:rsidRPr="00D17625">
        <w:rPr>
          <w:rFonts w:eastAsia="Times New Roman" w:cs="Times New Roman"/>
          <w:noProof/>
          <w:sz w:val="20"/>
          <w:szCs w:val="20"/>
        </w:rPr>
      </w:r>
      <w:r w:rsidR="00D17625" w:rsidRPr="00D17625">
        <w:rPr>
          <w:rFonts w:eastAsia="Times New Roman" w:cs="Times New Roman"/>
          <w:noProof/>
          <w:sz w:val="20"/>
          <w:szCs w:val="20"/>
        </w:rPr>
        <w:pict>
          <v:rect id="AutoShape 2" o:spid="_x0000_s1057" alt="http://www.coe.int/t/dghl/monitoring/ecri/activities/GeneralThemes_en-triangle_framboise-1.jpg" style="width:10.3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MN+QIAAB4GAAAOAAAAZHJzL2Uyb0RvYy54bWysVE1v2zAMvQ/YfxB0d/xR58NGnaKNk2JA&#10;txVody4UWba12ZInKXG6Yf99lJykSbvTNh8MSZQeH8lHXl7t2gZtmdJcigyHowAjJqgsuKgy/OVx&#10;5c0w0oaIgjRSsAw/M42v5u/fXfZdyiJZy6ZgCgGI0GnfZbg2pkt9X9OatUSPZMcEGEupWmJgqyq/&#10;UKQH9LbxoyCY+L1URackZVrDaT4Y8dzhlyWj5nNZamZQk2HgZtxfuf/a/v35JUkrRbqa0z0N8hcs&#10;WsIFOD1C5cQQtFH8DVTLqZJalmZEZevLsuSUuRggmjB4Fc1DTTrmYoHk6O6YJv3/YOmn7b1CvIDa&#10;YSRICyW63hjpPKMIo4JpCunal6Xve+DNRlwY3/hFVTd+KwU3UkHufUYV9wk1fMsNZ9q/ZYIp0jxC&#10;KZl+YsIzihNRNeypVKRdS66ZF46+dpWtQt/pFMg8dPfK5lF3d5J+00jIRQ1v2LXuoJYDy8ORUrKv&#10;GSkgHaGF8M8w7EYDGlr3H2UBcRGIy9VoV6rW+oDso52TwvNRCmxnEIXD8CKYhSAYCqb92nog6eFx&#10;p7S5ZbJFdpFhBewcONneaTNcPVyxvoRc8aaBc5I24uwAMIcTcA1Prc2ScOL5mQTJcracxV4cTZZe&#10;HOS5d71axN5kFU7H+UW+WOThL+s3jNOaFwUT1s1ByGF8rNyhof6ov31LDRI8SlnLhhcWzlLSqlov&#10;GoW2BBpp5T6XcrC8XPPPabh8QSyvQgqjOLiJEm81mU29eBWPvWQazLwgTG6SSRAncb46D+mOC/bv&#10;IaE+w8k4GrsqnZB+FVvgvrexkbTlBkZVw9sMz46XSGoVuBSFK60hvBnWJ6mw9F9SAeU+FNrp1Up0&#10;UP9aFs8gVyVBTqA8GKqwqKX6gVEPAyrD+vuGKIZR80GA5JMwju1Ec5t4PI1go04t61MLERSgMmww&#10;GpYLM0zBTad4VYOn0CVGSNv+JXcSti00sNo3FwwhF8l+YNopd7p3t17G+vw3AAAA//8DAFBLAwQU&#10;AAYACAAAACEAnR1E+tkAAAADAQAADwAAAGRycy9kb3ducmV2LnhtbEyPQUvDQBCF74L/YRnBi9iN&#10;PRSJ2RQpiEWEYqo9T7PTJDQ7m2a3Sfz3jnrQyzyGN7z3TbacXKsG6kPj2cDdLAFFXHrbcGXgfft0&#10;ew8qRGSLrWcy8EkBlvnlRYap9SO/0VDESkkIhxQN1DF2qdahrMlhmPmOWLyD7x1GWftK2x5HCXet&#10;nifJQjtsWBpq7GhVU3kszs7AWG6G3fb1WW9udmvPp/VpVXy8GHN9NT0+gIo0xb9j+MYXdMiFae/P&#10;bINqDcgj8WeKN08WoPa/qvNM/2fPvwAAAP//AwBQSwECLQAUAAYACAAAACEAtoM4kv4AAADhAQAA&#10;EwAAAAAAAAAAAAAAAAAAAAAAW0NvbnRlbnRfVHlwZXNdLnhtbFBLAQItABQABgAIAAAAIQA4/SH/&#10;1gAAAJQBAAALAAAAAAAAAAAAAAAAAC8BAABfcmVscy8ucmVsc1BLAQItABQABgAIAAAAIQCLB1MN&#10;+QIAAB4GAAAOAAAAAAAAAAAAAAAAAC4CAABkcnMvZTJvRG9jLnhtbFBLAQItABQABgAIAAAAIQCd&#10;HUT62QAAAAMBAAAPAAAAAAAAAAAAAAAAAFMFAABkcnMvZG93bnJldi54bWxQSwUGAAAAAAQABADz&#10;AAAAWQYAAAAA&#10;" filled="f" stroked="f">
            <o:lock v:ext="edit" aspectratio="t"/>
            <w10:wrap type="none"/>
            <w10:anchorlock/>
          </v:rect>
        </w:pict>
      </w:r>
      <w:r w:rsidRPr="00CA3598">
        <w:rPr>
          <w:rFonts w:eastAsia="Times New Roman" w:cs="Times New Roman"/>
          <w:color w:val="444444"/>
          <w:shd w:val="clear" w:color="auto" w:fill="FFFFFF"/>
          <w:lang w:val="en-US"/>
        </w:rPr>
        <w:t> </w:t>
      </w:r>
      <w:hyperlink r:id="rId36" w:history="1">
        <w:r w:rsidRPr="00CA3598">
          <w:rPr>
            <w:rFonts w:eastAsia="Times New Roman" w:cs="Times New Roman"/>
            <w:color w:val="0066CC"/>
            <w:sz w:val="20"/>
            <w:szCs w:val="20"/>
            <w:u w:val="single"/>
            <w:shd w:val="clear" w:color="auto" w:fill="FFFFFF"/>
            <w:lang w:val="en-US"/>
          </w:rPr>
          <w:t>ECRI General Policy Recommendation No.2:</w:t>
        </w:r>
      </w:hyperlink>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shd w:val="clear" w:color="auto" w:fill="FFFFFF"/>
          <w:lang w:val="en-US"/>
        </w:rPr>
        <w:t>Specialised bodies to combat racism, xenophobia, antisemitism and intolerance at national level</w:t>
      </w:r>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21" name="Picture 3"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Pr="00CA3598">
        <w:rPr>
          <w:rFonts w:eastAsia="Times New Roman" w:cs="Times New Roman"/>
          <w:color w:val="444444"/>
          <w:shd w:val="clear" w:color="auto" w:fill="FFFFFF"/>
          <w:lang w:val="en-US"/>
        </w:rPr>
        <w:t> </w:t>
      </w:r>
      <w:hyperlink r:id="rId37" w:history="1">
        <w:r w:rsidRPr="00CA3598">
          <w:rPr>
            <w:rFonts w:eastAsia="Times New Roman" w:cs="Times New Roman"/>
            <w:color w:val="0066CC"/>
            <w:sz w:val="20"/>
            <w:szCs w:val="20"/>
            <w:u w:val="single"/>
            <w:shd w:val="clear" w:color="auto" w:fill="FFFFFF"/>
            <w:lang w:val="en-US"/>
          </w:rPr>
          <w:t>ECRI General Policy Recommendation No.3:</w:t>
        </w:r>
      </w:hyperlink>
      <w:r w:rsidRPr="00CA3598">
        <w:rPr>
          <w:rFonts w:eastAsia="Times New Roman" w:cs="Times New Roman"/>
          <w:color w:val="444444"/>
          <w:sz w:val="20"/>
          <w:szCs w:val="20"/>
          <w:shd w:val="clear" w:color="auto" w:fill="FFFFFF"/>
          <w:lang w:val="en-US"/>
        </w:rPr>
        <w:t>Combating racism and intolerance against Roma/Gypsies</w:t>
      </w:r>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22" name="Picture 4"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Pr="00CA3598">
        <w:rPr>
          <w:rFonts w:eastAsia="Times New Roman" w:cs="Times New Roman"/>
          <w:color w:val="444444"/>
          <w:shd w:val="clear" w:color="auto" w:fill="FFFFFF"/>
          <w:lang w:val="en-US"/>
        </w:rPr>
        <w:t> </w:t>
      </w:r>
      <w:hyperlink r:id="rId38" w:history="1">
        <w:r w:rsidRPr="00CA3598">
          <w:rPr>
            <w:rFonts w:eastAsia="Times New Roman" w:cs="Times New Roman"/>
            <w:color w:val="0066CC"/>
            <w:sz w:val="20"/>
            <w:szCs w:val="20"/>
            <w:u w:val="single"/>
            <w:shd w:val="clear" w:color="auto" w:fill="FFFFFF"/>
            <w:lang w:val="en-US"/>
          </w:rPr>
          <w:t>ECRI General Policy Recommendation No.4:</w:t>
        </w:r>
      </w:hyperlink>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shd w:val="clear" w:color="auto" w:fill="FFFFFF"/>
          <w:lang w:val="en-US"/>
        </w:rPr>
        <w:t>National surveys on the experience and perception of discrimination and racism from the point of view of potential victims</w:t>
      </w:r>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23" name="Picture 5"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Pr="00CA3598">
        <w:rPr>
          <w:rFonts w:eastAsia="Times New Roman" w:cs="Times New Roman"/>
          <w:color w:val="444444"/>
          <w:shd w:val="clear" w:color="auto" w:fill="FFFFFF"/>
          <w:lang w:val="en-US"/>
        </w:rPr>
        <w:t> </w:t>
      </w:r>
      <w:hyperlink r:id="rId39" w:history="1">
        <w:r w:rsidRPr="00CA3598">
          <w:rPr>
            <w:rFonts w:eastAsia="Times New Roman" w:cs="Times New Roman"/>
            <w:color w:val="0066CC"/>
            <w:sz w:val="20"/>
            <w:szCs w:val="20"/>
            <w:u w:val="single"/>
            <w:shd w:val="clear" w:color="auto" w:fill="FFFFFF"/>
            <w:lang w:val="en-US"/>
          </w:rPr>
          <w:t>ECRI General Policy Recommendation No.5:</w:t>
        </w:r>
      </w:hyperlink>
      <w:r w:rsidRPr="00CA3598">
        <w:rPr>
          <w:rFonts w:eastAsia="Times New Roman" w:cs="Times New Roman"/>
          <w:color w:val="444444"/>
          <w:sz w:val="20"/>
          <w:szCs w:val="20"/>
          <w:shd w:val="clear" w:color="auto" w:fill="FFFFFF"/>
          <w:lang w:val="en-US"/>
        </w:rPr>
        <w:t xml:space="preserve">Combating intolerance and discrimination against </w:t>
      </w:r>
      <w:r w:rsidRPr="00CA3598">
        <w:rPr>
          <w:rFonts w:eastAsia="Times New Roman" w:cs="Times New Roman"/>
          <w:color w:val="444444"/>
          <w:sz w:val="20"/>
          <w:szCs w:val="20"/>
          <w:shd w:val="clear" w:color="auto" w:fill="FFFFFF"/>
          <w:lang w:val="en-US"/>
        </w:rPr>
        <w:lastRenderedPageBreak/>
        <w:t>Muslims</w:t>
      </w:r>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24" name="Picture 6"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Pr="00CA3598">
        <w:rPr>
          <w:rFonts w:eastAsia="Times New Roman" w:cs="Times New Roman"/>
          <w:color w:val="444444"/>
          <w:shd w:val="clear" w:color="auto" w:fill="FFFFFF"/>
          <w:lang w:val="en-US"/>
        </w:rPr>
        <w:t> </w:t>
      </w:r>
      <w:hyperlink r:id="rId40" w:history="1">
        <w:r w:rsidRPr="00CA3598">
          <w:rPr>
            <w:rFonts w:eastAsia="Times New Roman" w:cs="Times New Roman"/>
            <w:color w:val="0066CC"/>
            <w:sz w:val="20"/>
            <w:szCs w:val="20"/>
            <w:u w:val="single"/>
            <w:shd w:val="clear" w:color="auto" w:fill="FFFFFF"/>
            <w:lang w:val="en-US"/>
          </w:rPr>
          <w:t>ECRI General Policy Recommendation No.6:</w:t>
        </w:r>
      </w:hyperlink>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shd w:val="clear" w:color="auto" w:fill="FFFFFF"/>
          <w:lang w:val="en-US"/>
        </w:rPr>
        <w:t>Combating the dissemination of racist, xenophobic and antisemitic material via the Internet</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25" name="Picture 7"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Pr="00CA3598">
        <w:rPr>
          <w:rFonts w:eastAsia="Times New Roman" w:cs="Times New Roman"/>
          <w:color w:val="444444"/>
          <w:shd w:val="clear" w:color="auto" w:fill="FFFFFF"/>
          <w:lang w:val="en-US"/>
        </w:rPr>
        <w:t> </w:t>
      </w:r>
      <w:hyperlink r:id="rId41" w:history="1">
        <w:r w:rsidRPr="00CA3598">
          <w:rPr>
            <w:rFonts w:eastAsia="Times New Roman" w:cs="Times New Roman"/>
            <w:color w:val="0066CC"/>
            <w:sz w:val="20"/>
            <w:szCs w:val="20"/>
            <w:u w:val="single"/>
            <w:shd w:val="clear" w:color="auto" w:fill="FFFFFF"/>
            <w:lang w:val="en-US"/>
          </w:rPr>
          <w:t>ECRI General Policy Recommendation No.7:</w:t>
        </w:r>
      </w:hyperlink>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shd w:val="clear" w:color="auto" w:fill="FFFFFF"/>
          <w:lang w:val="en-US"/>
        </w:rPr>
        <w:t>National legislation to combat racism and racial discrimination</w:t>
      </w:r>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26" name="Picture 8"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Pr="00CA3598">
        <w:rPr>
          <w:rFonts w:eastAsia="Times New Roman" w:cs="Times New Roman"/>
          <w:color w:val="444444"/>
          <w:shd w:val="clear" w:color="auto" w:fill="FFFFFF"/>
          <w:lang w:val="en-US"/>
        </w:rPr>
        <w:t> </w:t>
      </w:r>
      <w:hyperlink r:id="rId42" w:history="1">
        <w:r w:rsidRPr="00CA3598">
          <w:rPr>
            <w:rFonts w:eastAsia="Times New Roman" w:cs="Times New Roman"/>
            <w:color w:val="0066CC"/>
            <w:sz w:val="20"/>
            <w:szCs w:val="20"/>
            <w:u w:val="single"/>
            <w:shd w:val="clear" w:color="auto" w:fill="FFFFFF"/>
            <w:lang w:val="en-US"/>
          </w:rPr>
          <w:t>ECRI General Policy Recommendation No.8:</w:t>
        </w:r>
      </w:hyperlink>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shd w:val="clear" w:color="auto" w:fill="FFFFFF"/>
          <w:lang w:val="en-US"/>
        </w:rPr>
        <w:t>Combating racism while fighting terrorism</w:t>
      </w:r>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27" name="Picture 9"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hyperlink r:id="rId43" w:history="1">
        <w:r w:rsidRPr="00CA3598">
          <w:rPr>
            <w:rFonts w:eastAsia="Times New Roman" w:cs="Times New Roman"/>
            <w:color w:val="0066CC"/>
            <w:shd w:val="clear" w:color="auto" w:fill="FFFFFF"/>
            <w:lang w:val="en-US"/>
          </w:rPr>
          <w:t> </w:t>
        </w:r>
        <w:r w:rsidRPr="00CA3598">
          <w:rPr>
            <w:rFonts w:eastAsia="Times New Roman" w:cs="Times New Roman"/>
            <w:color w:val="0066CC"/>
            <w:sz w:val="20"/>
            <w:szCs w:val="20"/>
            <w:u w:val="single"/>
            <w:shd w:val="clear" w:color="auto" w:fill="FFFFFF"/>
            <w:lang w:val="en-US"/>
          </w:rPr>
          <w:t>ECRI General Policy Recommendation No.9:</w:t>
        </w:r>
        <w:r w:rsidRPr="00CA3598">
          <w:rPr>
            <w:rFonts w:eastAsia="Times New Roman" w:cs="Times New Roman"/>
            <w:color w:val="0066CC"/>
            <w:shd w:val="clear" w:color="auto" w:fill="FFFFFF"/>
            <w:lang w:val="en-US"/>
          </w:rPr>
          <w:t> </w:t>
        </w:r>
      </w:hyperlink>
      <w:r w:rsidRPr="00CA3598">
        <w:rPr>
          <w:rFonts w:eastAsia="Times New Roman" w:cs="Times New Roman"/>
          <w:color w:val="444444"/>
          <w:sz w:val="20"/>
          <w:szCs w:val="20"/>
          <w:shd w:val="clear" w:color="auto" w:fill="FFFFFF"/>
          <w:lang w:val="en-US"/>
        </w:rPr>
        <w:t>The fight against antisemitism</w:t>
      </w:r>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28" name="Picture 10"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hyperlink r:id="rId44" w:history="1">
        <w:r w:rsidRPr="00CA3598">
          <w:rPr>
            <w:rFonts w:eastAsia="Times New Roman" w:cs="Times New Roman"/>
            <w:color w:val="0066CC"/>
            <w:shd w:val="clear" w:color="auto" w:fill="FFFFFF"/>
            <w:lang w:val="en-US"/>
          </w:rPr>
          <w:t> </w:t>
        </w:r>
        <w:r w:rsidRPr="00CA3598">
          <w:rPr>
            <w:rFonts w:eastAsia="Times New Roman" w:cs="Times New Roman"/>
            <w:color w:val="0066CC"/>
            <w:sz w:val="20"/>
            <w:szCs w:val="20"/>
            <w:u w:val="single"/>
            <w:shd w:val="clear" w:color="auto" w:fill="FFFFFF"/>
            <w:lang w:val="en-US"/>
          </w:rPr>
          <w:t>ECRI General Policy Recommendation No.10:</w:t>
        </w:r>
        <w:r w:rsidRPr="00CA3598">
          <w:rPr>
            <w:rFonts w:eastAsia="Times New Roman" w:cs="Times New Roman"/>
            <w:color w:val="0066CC"/>
            <w:shd w:val="clear" w:color="auto" w:fill="FFFFFF"/>
            <w:lang w:val="en-US"/>
          </w:rPr>
          <w:t> </w:t>
        </w:r>
      </w:hyperlink>
      <w:r w:rsidRPr="00CA3598">
        <w:rPr>
          <w:rFonts w:eastAsia="Times New Roman" w:cs="Times New Roman"/>
          <w:color w:val="444444"/>
          <w:sz w:val="20"/>
          <w:szCs w:val="20"/>
          <w:shd w:val="clear" w:color="auto" w:fill="FFFFFF"/>
          <w:lang w:val="en-US"/>
        </w:rPr>
        <w:t>Combating racism and racial discrimination in and through school education</w:t>
      </w:r>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29" name="Picture 11"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hyperlink r:id="rId45" w:history="1">
        <w:r w:rsidRPr="00CA3598">
          <w:rPr>
            <w:rFonts w:eastAsia="Times New Roman" w:cs="Times New Roman"/>
            <w:color w:val="0066CC"/>
            <w:shd w:val="clear" w:color="auto" w:fill="FFFFFF"/>
            <w:lang w:val="en-US"/>
          </w:rPr>
          <w:t> </w:t>
        </w:r>
        <w:r w:rsidRPr="00CA3598">
          <w:rPr>
            <w:rFonts w:eastAsia="Times New Roman" w:cs="Times New Roman"/>
            <w:color w:val="0066CC"/>
            <w:sz w:val="20"/>
            <w:szCs w:val="20"/>
            <w:u w:val="single"/>
            <w:shd w:val="clear" w:color="auto" w:fill="FFFFFF"/>
            <w:lang w:val="en-US"/>
          </w:rPr>
          <w:t>ECRI General Policy Recommendation No.11:</w:t>
        </w:r>
      </w:hyperlink>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shd w:val="clear" w:color="auto" w:fill="FFFFFF"/>
          <w:lang w:val="en-US"/>
        </w:rPr>
        <w:t>Combating racism and racial discrimination in policing</w:t>
      </w:r>
      <w:r w:rsidRPr="00CA3598">
        <w:rPr>
          <w:rFonts w:eastAsia="Times New Roman" w:cs="Times New Roman"/>
          <w:color w:val="444444"/>
          <w:shd w:val="clear" w:color="auto" w:fill="FFFFFF"/>
          <w:lang w:val="en-US"/>
        </w:rPr>
        <w:t> </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30" name="Picture 12"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Pr="00CA3598">
        <w:rPr>
          <w:rFonts w:eastAsia="Times New Roman" w:cs="Times New Roman"/>
          <w:color w:val="444444"/>
          <w:shd w:val="clear" w:color="auto" w:fill="FFFFFF"/>
          <w:lang w:val="en-US"/>
        </w:rPr>
        <w:t> </w:t>
      </w:r>
      <w:hyperlink r:id="rId46" w:history="1">
        <w:r w:rsidRPr="00CA3598">
          <w:rPr>
            <w:rFonts w:eastAsia="Times New Roman" w:cs="Times New Roman"/>
            <w:color w:val="0066CC"/>
            <w:sz w:val="20"/>
            <w:szCs w:val="20"/>
            <w:u w:val="single"/>
            <w:shd w:val="clear" w:color="auto" w:fill="FFFFFF"/>
            <w:lang w:val="en-US"/>
          </w:rPr>
          <w:t>ECRI General Policy Recommendation No.12</w:t>
        </w:r>
      </w:hyperlink>
      <w:r w:rsidRPr="00CA3598">
        <w:rPr>
          <w:rFonts w:eastAsia="Times New Roman" w:cs="Times New Roman"/>
          <w:color w:val="444444"/>
          <w:sz w:val="20"/>
          <w:szCs w:val="20"/>
          <w:shd w:val="clear" w:color="auto" w:fill="FFFFFF"/>
          <w:lang w:val="en-US"/>
        </w:rPr>
        <w:t>: Combating racism and racial discrimination in the field of sport</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31" name="Picture 13"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Pr="00CA3598">
        <w:rPr>
          <w:rFonts w:eastAsia="Times New Roman" w:cs="Times New Roman"/>
          <w:color w:val="444444"/>
          <w:shd w:val="clear" w:color="auto" w:fill="FFFFFF"/>
          <w:lang w:val="en-US"/>
        </w:rPr>
        <w:t> </w:t>
      </w:r>
      <w:hyperlink r:id="rId47" w:history="1">
        <w:r w:rsidRPr="00CA3598">
          <w:rPr>
            <w:rFonts w:eastAsia="Times New Roman" w:cs="Times New Roman"/>
            <w:color w:val="0066CC"/>
            <w:sz w:val="20"/>
            <w:szCs w:val="20"/>
            <w:u w:val="single"/>
            <w:shd w:val="clear" w:color="auto" w:fill="FFFFFF"/>
            <w:lang w:val="en-US"/>
          </w:rPr>
          <w:t>ECRI General Policy Recommendation No.13</w:t>
        </w:r>
      </w:hyperlink>
      <w:r w:rsidRPr="00CA3598">
        <w:rPr>
          <w:rFonts w:eastAsia="Times New Roman" w:cs="Times New Roman"/>
          <w:color w:val="444444"/>
          <w:sz w:val="20"/>
          <w:szCs w:val="20"/>
          <w:shd w:val="clear" w:color="auto" w:fill="FFFFFF"/>
          <w:lang w:val="en-US"/>
        </w:rPr>
        <w:t>: Combating anti-Gypsyism and discrimination against Roma</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32" name="Picture 14"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Pr="00CA3598">
        <w:rPr>
          <w:rFonts w:eastAsia="Times New Roman" w:cs="Times New Roman"/>
          <w:color w:val="444444"/>
          <w:shd w:val="clear" w:color="auto" w:fill="FFFFFF"/>
          <w:lang w:val="en-US"/>
        </w:rPr>
        <w:t> </w:t>
      </w:r>
      <w:hyperlink r:id="rId48" w:history="1">
        <w:r w:rsidRPr="00CA3598">
          <w:rPr>
            <w:rFonts w:eastAsia="Times New Roman" w:cs="Times New Roman"/>
            <w:color w:val="0066CC"/>
            <w:sz w:val="20"/>
            <w:szCs w:val="20"/>
            <w:u w:val="single"/>
            <w:shd w:val="clear" w:color="auto" w:fill="FFFFFF"/>
            <w:lang w:val="en-US"/>
          </w:rPr>
          <w:t>ECRI General Policy Recommentation No.14</w:t>
        </w:r>
      </w:hyperlink>
      <w:r w:rsidRPr="00CA3598">
        <w:rPr>
          <w:rFonts w:eastAsia="Times New Roman" w:cs="Times New Roman"/>
          <w:color w:val="444444"/>
          <w:sz w:val="20"/>
          <w:szCs w:val="20"/>
          <w:shd w:val="clear" w:color="auto" w:fill="FFFFFF"/>
          <w:lang w:val="en-US"/>
        </w:rPr>
        <w:t>: Combating racism and racial discrimination in employment</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34" name="Picture 15"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Pr="00CA3598">
        <w:rPr>
          <w:rFonts w:eastAsia="Times New Roman" w:cs="Times New Roman"/>
          <w:color w:val="444444"/>
          <w:shd w:val="clear" w:color="auto" w:fill="FFFFFF"/>
          <w:lang w:val="en-US"/>
        </w:rPr>
        <w:t> </w:t>
      </w:r>
      <w:hyperlink r:id="rId49" w:history="1">
        <w:r w:rsidRPr="00CA3598">
          <w:rPr>
            <w:rFonts w:eastAsia="Times New Roman" w:cs="Times New Roman"/>
            <w:color w:val="0066CC"/>
            <w:sz w:val="20"/>
            <w:szCs w:val="20"/>
            <w:u w:val="single"/>
            <w:shd w:val="clear" w:color="auto" w:fill="FFFFFF"/>
            <w:lang w:val="en-US"/>
          </w:rPr>
          <w:t>ECRI General Policy Recommendation No.15</w:t>
        </w:r>
      </w:hyperlink>
      <w:r w:rsidRPr="00CA3598">
        <w:rPr>
          <w:rFonts w:eastAsia="Times New Roman" w:cs="Times New Roman"/>
          <w:color w:val="444444"/>
          <w:sz w:val="20"/>
          <w:szCs w:val="20"/>
          <w:shd w:val="clear" w:color="auto" w:fill="FFFFFF"/>
          <w:lang w:val="en-US"/>
        </w:rPr>
        <w:t>: Combating Hate Speech</w:t>
      </w:r>
      <w:r w:rsidRPr="00CA3598">
        <w:rPr>
          <w:rFonts w:eastAsia="Times New Roman" w:cs="Times New Roman"/>
          <w:color w:val="444444"/>
          <w:sz w:val="20"/>
          <w:szCs w:val="20"/>
          <w:lang w:val="en-US"/>
        </w:rPr>
        <w:br/>
      </w:r>
      <w:r w:rsidRPr="00CA3598">
        <w:rPr>
          <w:rFonts w:eastAsia="Times New Roman" w:cs="Times New Roman"/>
          <w:noProof/>
          <w:sz w:val="20"/>
          <w:szCs w:val="20"/>
          <w:lang w:val="hu-HU" w:eastAsia="hu-HU"/>
        </w:rPr>
        <w:drawing>
          <wp:inline distT="0" distB="0" distL="0" distR="0">
            <wp:extent cx="130810" cy="130810"/>
            <wp:effectExtent l="0" t="0" r="0" b="0"/>
            <wp:docPr id="35" name="Picture 16" descr="http://www.coe.int/t/dghl/monitoring/ecri/activities/GeneralThemes_en-triangle_framb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e.int/t/dghl/monitoring/ecri/activities/GeneralThemes_en-triangle_framboise-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Pr="00CA3598">
        <w:rPr>
          <w:rFonts w:eastAsia="Times New Roman" w:cs="Times New Roman"/>
          <w:color w:val="444444"/>
          <w:shd w:val="clear" w:color="auto" w:fill="FFFFFF"/>
          <w:lang w:val="en-US"/>
        </w:rPr>
        <w:t> </w:t>
      </w:r>
      <w:hyperlink r:id="rId50" w:history="1">
        <w:r w:rsidRPr="00CA3598">
          <w:rPr>
            <w:rFonts w:eastAsia="Times New Roman" w:cs="Times New Roman"/>
            <w:color w:val="0066CC"/>
            <w:sz w:val="20"/>
            <w:szCs w:val="20"/>
            <w:u w:val="single"/>
            <w:shd w:val="clear" w:color="auto" w:fill="FFFFFF"/>
            <w:lang w:val="en-US"/>
          </w:rPr>
          <w:t>ECRI General Policy Recommendation No.16</w:t>
        </w:r>
      </w:hyperlink>
      <w:r w:rsidRPr="00CA3598">
        <w:rPr>
          <w:rFonts w:eastAsia="Times New Roman" w:cs="Times New Roman"/>
          <w:color w:val="444444"/>
          <w:sz w:val="20"/>
          <w:szCs w:val="20"/>
          <w:shd w:val="clear" w:color="auto" w:fill="FFFFFF"/>
          <w:lang w:val="en-US"/>
        </w:rPr>
        <w:t>: Safeguarding irregularly present migrants from discrimination</w:t>
      </w:r>
    </w:p>
    <w:p w:rsidR="00CA3598" w:rsidRPr="00CA3598" w:rsidRDefault="00CA3598" w:rsidP="00CA3598">
      <w:pPr>
        <w:pBdr>
          <w:top w:val="single" w:sz="4" w:space="1" w:color="auto"/>
          <w:left w:val="single" w:sz="4" w:space="4" w:color="auto"/>
          <w:bottom w:val="single" w:sz="4" w:space="1" w:color="auto"/>
          <w:right w:val="single" w:sz="4" w:space="4" w:color="auto"/>
        </w:pBdr>
        <w:spacing w:line="240" w:lineRule="auto"/>
        <w:rPr>
          <w:rFonts w:eastAsia="Times New Roman" w:cs="Times New Roman"/>
          <w:color w:val="0000FF" w:themeColor="hyperlink"/>
          <w:u w:val="single"/>
          <w:lang w:val="en-US"/>
        </w:rPr>
      </w:pPr>
      <w:r w:rsidRPr="00CA3598">
        <w:rPr>
          <w:rFonts w:cs="Times New Roman"/>
          <w:lang w:val="en-US"/>
        </w:rPr>
        <w:t>See also </w:t>
      </w:r>
      <w:r w:rsidRPr="00CA3598">
        <w:rPr>
          <w:rFonts w:eastAsia="Times New Roman" w:cs="Times New Roman"/>
          <w:noProof/>
          <w:color w:val="325498"/>
          <w:shd w:val="clear" w:color="auto" w:fill="FFFFFF"/>
          <w:lang w:val="hu-HU" w:eastAsia="hu-HU"/>
        </w:rPr>
        <w:drawing>
          <wp:inline distT="0" distB="0" distL="0" distR="0">
            <wp:extent cx="130810" cy="130810"/>
            <wp:effectExtent l="0" t="0" r="0" b="0"/>
            <wp:docPr id="36" name="Picture 33" descr="http://www.coe.int/t/dghl/monitoring/ecri/activities/Themes/freedomexpression_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e.int/t/dghl/monitoring/ecri/activities/Themes/freedomexpression_EN-1.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 cy="130810"/>
                    </a:xfrm>
                    <a:prstGeom prst="rect">
                      <a:avLst/>
                    </a:prstGeom>
                    <a:noFill/>
                    <a:ln>
                      <a:noFill/>
                    </a:ln>
                  </pic:spPr>
                </pic:pic>
              </a:graphicData>
            </a:graphic>
          </wp:inline>
        </w:drawing>
      </w:r>
      <w:r w:rsidRPr="00CA3598">
        <w:rPr>
          <w:rFonts w:eastAsia="Times New Roman" w:cs="Times New Roman"/>
          <w:color w:val="325498"/>
          <w:shd w:val="clear" w:color="auto" w:fill="FFFFFF"/>
          <w:lang w:val="en-US"/>
        </w:rPr>
        <w:t> </w:t>
      </w:r>
      <w:hyperlink r:id="rId51" w:tgtFrame="_top" w:history="1">
        <w:r w:rsidRPr="00CA3598">
          <w:rPr>
            <w:rFonts w:eastAsia="Times New Roman" w:cs="Times New Roman"/>
            <w:color w:val="0066CC"/>
            <w:u w:val="single"/>
            <w:shd w:val="clear" w:color="auto" w:fill="FFFFFF"/>
            <w:lang w:val="en-US"/>
          </w:rPr>
          <w:t>Proceedings of ECRI Expert Seminar: Combating racism while respecting freedom of expression</w:t>
        </w:r>
      </w:hyperlink>
      <w:bookmarkStart w:id="39" w:name="P11_1505"/>
      <w:bookmarkEnd w:id="39"/>
      <w:r w:rsidRPr="00CA3598">
        <w:rPr>
          <w:rFonts w:eastAsia="Times New Roman" w:cs="Times New Roman"/>
          <w:color w:val="444444"/>
          <w:shd w:val="clear" w:color="auto" w:fill="FFFFFF"/>
          <w:lang w:val="en-US"/>
        </w:rPr>
        <w:t> </w:t>
      </w:r>
    </w:p>
    <w:p w:rsidR="00CA3598" w:rsidRDefault="00CA3598" w:rsidP="00CA3598">
      <w:pPr>
        <w:keepNext/>
        <w:keepLines/>
        <w:spacing w:before="200" w:after="0"/>
        <w:outlineLvl w:val="2"/>
        <w:rPr>
          <w:rFonts w:asciiTheme="majorHAnsi" w:eastAsiaTheme="majorEastAsia" w:hAnsiTheme="majorHAnsi" w:cstheme="majorBidi"/>
          <w:b/>
          <w:bCs/>
          <w:color w:val="4F81BD" w:themeColor="accent1"/>
          <w:lang w:val="en-US"/>
        </w:rPr>
      </w:pPr>
      <w:bookmarkStart w:id="40" w:name="_Toc346544869"/>
      <w:bookmarkStart w:id="41" w:name="_Toc346570280"/>
    </w:p>
    <w:p w:rsidR="008C1FB2" w:rsidRPr="00CA3598" w:rsidRDefault="008C1FB2" w:rsidP="00CA3598">
      <w:pPr>
        <w:keepNext/>
        <w:keepLines/>
        <w:spacing w:before="200" w:after="0"/>
        <w:outlineLvl w:val="2"/>
        <w:rPr>
          <w:rFonts w:asciiTheme="majorHAnsi" w:eastAsiaTheme="majorEastAsia" w:hAnsiTheme="majorHAnsi" w:cstheme="majorBidi"/>
          <w:b/>
          <w:bCs/>
          <w:color w:val="4F81BD" w:themeColor="accent1"/>
          <w:lang w:val="en-US"/>
        </w:rPr>
      </w:pPr>
    </w:p>
    <w:p w:rsidR="00CA3598" w:rsidRPr="00CA3598" w:rsidRDefault="008541CA" w:rsidP="00CA3598">
      <w:pPr>
        <w:pStyle w:val="Cmsor3"/>
        <w:rPr>
          <w:lang w:val="en-US"/>
        </w:rPr>
      </w:pPr>
      <w:bookmarkStart w:id="42" w:name="_Toc490845007"/>
      <w:r>
        <w:rPr>
          <w:lang w:val="en-US"/>
        </w:rPr>
        <w:t>4.</w:t>
      </w:r>
      <w:r w:rsidR="00CA3598" w:rsidRPr="00CA3598">
        <w:rPr>
          <w:lang w:val="en-US"/>
        </w:rPr>
        <w:t>2.3. Organization for Security and Co-operation in Europe</w:t>
      </w:r>
      <w:bookmarkEnd w:id="40"/>
      <w:bookmarkEnd w:id="41"/>
      <w:bookmarkEnd w:id="42"/>
    </w:p>
    <w:p w:rsidR="008C1FB2" w:rsidRDefault="008C1FB2" w:rsidP="00CA3598">
      <w:pPr>
        <w:pStyle w:val="Cmsor4"/>
        <w:rPr>
          <w:lang w:val="en-US"/>
        </w:rPr>
      </w:pPr>
      <w:bookmarkStart w:id="43" w:name="_Toc346570281"/>
    </w:p>
    <w:p w:rsidR="00CA3598" w:rsidRPr="008C1FB2" w:rsidRDefault="008541CA" w:rsidP="00CA3598">
      <w:pPr>
        <w:pStyle w:val="Cmsor4"/>
        <w:rPr>
          <w:lang w:val="en-US"/>
        </w:rPr>
      </w:pPr>
      <w:r>
        <w:rPr>
          <w:lang w:val="en-US"/>
        </w:rPr>
        <w:t>4.</w:t>
      </w:r>
      <w:r w:rsidR="00CA3598" w:rsidRPr="00CA3598">
        <w:rPr>
          <w:lang w:val="en-US"/>
        </w:rPr>
        <w:t>2.3.a Ministerial Council Decision No. 4/2003 on tolerance and non-discrimination</w:t>
      </w:r>
      <w:bookmarkEnd w:id="43"/>
    </w:p>
    <w:p w:rsidR="00CA3598" w:rsidRPr="00CA3598" w:rsidRDefault="00D17625" w:rsidP="00CA3598">
      <w:pPr>
        <w:rPr>
          <w:lang w:val="en-US"/>
        </w:rPr>
      </w:pPr>
      <w:hyperlink r:id="rId52" w:history="1">
        <w:r w:rsidR="00CA3598" w:rsidRPr="00CA3598">
          <w:rPr>
            <w:color w:val="0000FF" w:themeColor="hyperlink"/>
            <w:u w:val="single"/>
            <w:lang w:val="en-US"/>
          </w:rPr>
          <w:t>www.osce.org/mc/19382</w:t>
        </w:r>
      </w:hyperlink>
    </w:p>
    <w:p w:rsidR="008C1FB2" w:rsidRDefault="008C1FB2" w:rsidP="00CA3598">
      <w:pPr>
        <w:pStyle w:val="Cmsor4"/>
        <w:rPr>
          <w:lang w:val="en-US"/>
        </w:rPr>
      </w:pPr>
      <w:bookmarkStart w:id="44" w:name="_Toc346570282"/>
    </w:p>
    <w:p w:rsidR="00CA3598" w:rsidRPr="00CA3598" w:rsidRDefault="008541CA" w:rsidP="00CA3598">
      <w:pPr>
        <w:pStyle w:val="Cmsor4"/>
        <w:rPr>
          <w:lang w:val="en-US"/>
        </w:rPr>
      </w:pPr>
      <w:r>
        <w:rPr>
          <w:lang w:val="en-US"/>
        </w:rPr>
        <w:t>4.</w:t>
      </w:r>
      <w:r w:rsidR="00CA3598" w:rsidRPr="00CA3598">
        <w:rPr>
          <w:lang w:val="en-US"/>
        </w:rPr>
        <w:t>2.3.b Permanent Council Decision No. 621/2004 on tolerance and the fight against racism, xenophobia and discrimination</w:t>
      </w:r>
      <w:bookmarkEnd w:id="44"/>
    </w:p>
    <w:p w:rsidR="00CA3598" w:rsidRPr="00CA3598" w:rsidRDefault="00D17625" w:rsidP="00CA3598">
      <w:pPr>
        <w:rPr>
          <w:lang w:val="en-US"/>
        </w:rPr>
      </w:pPr>
      <w:hyperlink r:id="rId53" w:history="1">
        <w:r w:rsidR="00CA3598" w:rsidRPr="00CA3598">
          <w:rPr>
            <w:color w:val="0000FF" w:themeColor="hyperlink"/>
            <w:u w:val="single"/>
            <w:lang w:val="en-US"/>
          </w:rPr>
          <w:t>www.osce.org/pc/35610</w:t>
        </w:r>
      </w:hyperlink>
    </w:p>
    <w:p w:rsidR="008C1FB2" w:rsidRDefault="008C1FB2" w:rsidP="00CA3598">
      <w:pPr>
        <w:pStyle w:val="Cmsor4"/>
        <w:rPr>
          <w:lang w:val="en-US"/>
        </w:rPr>
      </w:pPr>
      <w:bookmarkStart w:id="45" w:name="_Toc346570283"/>
    </w:p>
    <w:p w:rsidR="00CA3598" w:rsidRPr="00CA3598" w:rsidRDefault="008541CA" w:rsidP="00CA3598">
      <w:pPr>
        <w:pStyle w:val="Cmsor4"/>
        <w:rPr>
          <w:lang w:val="en-US"/>
        </w:rPr>
      </w:pPr>
      <w:r>
        <w:rPr>
          <w:lang w:val="en-US"/>
        </w:rPr>
        <w:t>4.</w:t>
      </w:r>
      <w:r w:rsidR="00CA3598" w:rsidRPr="00CA3598">
        <w:rPr>
          <w:lang w:val="en-US"/>
        </w:rPr>
        <w:t>2.3.c Ministerial Council Decision No. 9/2009 on combating hate crimes</w:t>
      </w:r>
      <w:bookmarkEnd w:id="45"/>
    </w:p>
    <w:p w:rsidR="00CA3598" w:rsidRPr="00CA3598" w:rsidRDefault="00D17625" w:rsidP="00CA3598">
      <w:pPr>
        <w:rPr>
          <w:lang w:val="en-US"/>
        </w:rPr>
      </w:pPr>
      <w:hyperlink r:id="rId54" w:history="1">
        <w:r w:rsidR="00CA3598" w:rsidRPr="00CA3598">
          <w:rPr>
            <w:color w:val="0000FF" w:themeColor="hyperlink"/>
            <w:u w:val="single"/>
            <w:lang w:val="en-US"/>
          </w:rPr>
          <w:t>www.osce.org/cio/40695</w:t>
        </w:r>
      </w:hyperlink>
    </w:p>
    <w:p w:rsidR="00CA3598" w:rsidRPr="00CA3598" w:rsidRDefault="00CA3598" w:rsidP="00CA3598">
      <w:pPr>
        <w:rPr>
          <w:lang w:val="en-US"/>
        </w:rPr>
      </w:pPr>
    </w:p>
    <w:p w:rsidR="00CA3598" w:rsidRPr="00CA3598" w:rsidRDefault="008541CA" w:rsidP="00CA3598">
      <w:pPr>
        <w:pStyle w:val="Cmsor4"/>
        <w:rPr>
          <w:lang w:val="en-US"/>
        </w:rPr>
      </w:pPr>
      <w:bookmarkStart w:id="46" w:name="_Toc346570284"/>
      <w:r>
        <w:rPr>
          <w:lang w:val="en-US"/>
        </w:rPr>
        <w:t>4.</w:t>
      </w:r>
      <w:r w:rsidR="00CA3598" w:rsidRPr="00CA3598">
        <w:rPr>
          <w:lang w:val="en-US"/>
        </w:rPr>
        <w:t>2.3.d Office for Democratic Institutions and Human Rights</w:t>
      </w:r>
      <w:bookmarkEnd w:id="46"/>
    </w:p>
    <w:p w:rsidR="00CA3598" w:rsidRPr="00CA3598" w:rsidRDefault="00CA3598" w:rsidP="00CA3598">
      <w:pPr>
        <w:jc w:val="both"/>
        <w:rPr>
          <w:lang w:val="en-US"/>
        </w:rPr>
      </w:pPr>
      <w:r w:rsidRPr="00CA3598">
        <w:rPr>
          <w:lang w:val="en-US"/>
        </w:rPr>
        <w:t xml:space="preserve">The Office for Democratic Institutions and Human Rights (ODIHR) is tasked with assisting OSCE participating States to ensure full respect for human rights and fundamental freedoms; to abide by the rule of law; to promote principles of democracy; to build, strengthen and protect democratic institutions; and to promote tolerance throughout their societies. The Office also plays an important role in enhancing dialogue among States, governments and civil society. It organizes the yearly OSCE Human Dimension Implementation Meeting, three </w:t>
      </w:r>
      <w:r w:rsidRPr="00CA3598">
        <w:rPr>
          <w:lang w:val="en-US"/>
        </w:rPr>
        <w:lastRenderedPageBreak/>
        <w:t>supplementary meetings and a seminar, which review governments’ progress and give NGOs a platform to freely voice their concerns.</w:t>
      </w:r>
    </w:p>
    <w:p w:rsidR="00CA3598" w:rsidRPr="00CA3598" w:rsidRDefault="00CA3598" w:rsidP="00CA3598">
      <w:pPr>
        <w:jc w:val="both"/>
        <w:rPr>
          <w:lang w:val="en-US"/>
        </w:rPr>
      </w:pPr>
      <w:r w:rsidRPr="00CA3598">
        <w:rPr>
          <w:lang w:val="en-US"/>
        </w:rPr>
        <w:t>Racism, xenophobia and other forms of intolerance continue to threaten security in the increasingly diverse societies across the OSCE region. ODIHR has developed a collection of resources and programmes to raise awareness about discrimination, hate crimes, anti-Semitism and other forms of intolerance, including against Muslims, Christians and members of other religions. Through advising on policy and the training of law enforcement personnel and educators, the Office works to build the capacity of governments in preventing and responding to this problem. ODIHR also works to increase the ability of civil society to monitor and report on hate crimes and incidents.</w:t>
      </w:r>
    </w:p>
    <w:p w:rsidR="00CA3598" w:rsidRPr="00CA3598" w:rsidRDefault="00CA3598" w:rsidP="00CA3598">
      <w:pPr>
        <w:rPr>
          <w:lang w:val="en-US"/>
        </w:rPr>
      </w:pPr>
      <w:r w:rsidRPr="00CA3598">
        <w:rPr>
          <w:lang w:val="en-US"/>
        </w:rPr>
        <w:tab/>
      </w:r>
    </w:p>
    <w:p w:rsidR="00CA3598" w:rsidRPr="00CA3598" w:rsidRDefault="00CA3598" w:rsidP="00CA3598">
      <w:pPr>
        <w:pBdr>
          <w:top w:val="single" w:sz="4" w:space="1" w:color="auto"/>
          <w:left w:val="single" w:sz="4" w:space="4" w:color="auto"/>
          <w:bottom w:val="single" w:sz="4" w:space="1" w:color="auto"/>
          <w:right w:val="single" w:sz="4" w:space="4" w:color="auto"/>
        </w:pBdr>
        <w:ind w:left="360"/>
        <w:rPr>
          <w:lang w:val="en-US"/>
        </w:rPr>
      </w:pPr>
      <w:r w:rsidRPr="00CA3598">
        <w:rPr>
          <w:lang w:val="en-US"/>
        </w:rPr>
        <w:t>Learn more about ODIHR's work on:</w:t>
      </w:r>
    </w:p>
    <w:p w:rsidR="00CA3598" w:rsidRPr="00CA3598" w:rsidRDefault="00D17625" w:rsidP="00CA3598">
      <w:pPr>
        <w:numPr>
          <w:ilvl w:val="0"/>
          <w:numId w:val="9"/>
        </w:numPr>
        <w:pBdr>
          <w:top w:val="single" w:sz="4" w:space="1" w:color="auto"/>
          <w:left w:val="single" w:sz="4" w:space="4" w:color="auto"/>
          <w:bottom w:val="single" w:sz="4" w:space="1" w:color="auto"/>
          <w:right w:val="single" w:sz="4" w:space="4" w:color="auto"/>
        </w:pBdr>
        <w:spacing w:after="0" w:line="360" w:lineRule="auto"/>
        <w:jc w:val="both"/>
        <w:rPr>
          <w:lang w:val="en-US"/>
        </w:rPr>
      </w:pPr>
      <w:hyperlink r:id="rId55" w:history="1">
        <w:r w:rsidR="00CA3598" w:rsidRPr="00CA3598">
          <w:rPr>
            <w:color w:val="0000FF" w:themeColor="hyperlink"/>
            <w:u w:val="single"/>
            <w:lang w:val="en-US"/>
          </w:rPr>
          <w:t>countering intolerance and discrimination against Muslims</w:t>
        </w:r>
      </w:hyperlink>
    </w:p>
    <w:p w:rsidR="00CA3598" w:rsidRPr="00CA3598" w:rsidRDefault="00D17625" w:rsidP="00CA3598">
      <w:pPr>
        <w:numPr>
          <w:ilvl w:val="0"/>
          <w:numId w:val="9"/>
        </w:numPr>
        <w:pBdr>
          <w:top w:val="single" w:sz="4" w:space="1" w:color="auto"/>
          <w:left w:val="single" w:sz="4" w:space="4" w:color="auto"/>
          <w:bottom w:val="single" w:sz="4" w:space="1" w:color="auto"/>
          <w:right w:val="single" w:sz="4" w:space="4" w:color="auto"/>
        </w:pBdr>
        <w:spacing w:after="0" w:line="360" w:lineRule="auto"/>
        <w:jc w:val="both"/>
        <w:rPr>
          <w:lang w:val="en-US"/>
        </w:rPr>
      </w:pPr>
      <w:hyperlink r:id="rId56" w:history="1">
        <w:r w:rsidR="00CA3598" w:rsidRPr="00CA3598">
          <w:rPr>
            <w:color w:val="0000FF" w:themeColor="hyperlink"/>
            <w:u w:val="single"/>
            <w:lang w:val="en-US"/>
          </w:rPr>
          <w:t>countering anti-Semitism and promoting Holocaust remembrance</w:t>
        </w:r>
      </w:hyperlink>
    </w:p>
    <w:p w:rsidR="00CA3598" w:rsidRPr="00CA3598" w:rsidRDefault="00D17625" w:rsidP="00CA3598">
      <w:pPr>
        <w:numPr>
          <w:ilvl w:val="0"/>
          <w:numId w:val="9"/>
        </w:numPr>
        <w:pBdr>
          <w:top w:val="single" w:sz="4" w:space="1" w:color="auto"/>
          <w:left w:val="single" w:sz="4" w:space="4" w:color="auto"/>
          <w:bottom w:val="single" w:sz="4" w:space="1" w:color="auto"/>
          <w:right w:val="single" w:sz="4" w:space="4" w:color="auto"/>
        </w:pBdr>
        <w:spacing w:after="0" w:line="360" w:lineRule="auto"/>
        <w:jc w:val="both"/>
      </w:pPr>
      <w:hyperlink r:id="rId57" w:history="1">
        <w:r w:rsidR="00CA3598" w:rsidRPr="00CA3598">
          <w:rPr>
            <w:color w:val="0000FF" w:themeColor="hyperlink"/>
            <w:u w:val="single"/>
          </w:rPr>
          <w:t>countering racism, xenophobia and discrimination</w:t>
        </w:r>
      </w:hyperlink>
    </w:p>
    <w:p w:rsidR="00CA3598" w:rsidRPr="00CA3598" w:rsidRDefault="00D17625" w:rsidP="00CA3598">
      <w:pPr>
        <w:numPr>
          <w:ilvl w:val="0"/>
          <w:numId w:val="9"/>
        </w:numPr>
        <w:pBdr>
          <w:top w:val="single" w:sz="4" w:space="1" w:color="auto"/>
          <w:left w:val="single" w:sz="4" w:space="4" w:color="auto"/>
          <w:bottom w:val="single" w:sz="4" w:space="1" w:color="auto"/>
          <w:right w:val="single" w:sz="4" w:space="4" w:color="auto"/>
        </w:pBdr>
        <w:spacing w:after="0" w:line="360" w:lineRule="auto"/>
        <w:jc w:val="both"/>
      </w:pPr>
      <w:hyperlink r:id="rId58" w:history="1">
        <w:r w:rsidR="00CA3598" w:rsidRPr="00CA3598">
          <w:rPr>
            <w:color w:val="0000FF" w:themeColor="hyperlink"/>
            <w:u w:val="single"/>
          </w:rPr>
          <w:t>hate crime reporting</w:t>
        </w:r>
      </w:hyperlink>
    </w:p>
    <w:p w:rsidR="00CA3598" w:rsidRPr="00CA3598" w:rsidRDefault="00D17625" w:rsidP="00CA3598">
      <w:pPr>
        <w:numPr>
          <w:ilvl w:val="0"/>
          <w:numId w:val="9"/>
        </w:numPr>
        <w:pBdr>
          <w:top w:val="single" w:sz="4" w:space="1" w:color="auto"/>
          <w:left w:val="single" w:sz="4" w:space="4" w:color="auto"/>
          <w:bottom w:val="single" w:sz="4" w:space="1" w:color="auto"/>
          <w:right w:val="single" w:sz="4" w:space="4" w:color="auto"/>
        </w:pBdr>
        <w:spacing w:after="0" w:line="360" w:lineRule="auto"/>
        <w:jc w:val="both"/>
        <w:rPr>
          <w:lang w:val="en-US"/>
        </w:rPr>
      </w:pPr>
      <w:hyperlink r:id="rId59" w:history="1">
        <w:r w:rsidR="00CA3598" w:rsidRPr="00CA3598">
          <w:rPr>
            <w:color w:val="0000FF" w:themeColor="hyperlink"/>
            <w:u w:val="single"/>
            <w:lang w:val="en-US"/>
          </w:rPr>
          <w:t>Tolerance and Non-Discrimination Information System (TANDIS)</w:t>
        </w:r>
      </w:hyperlink>
    </w:p>
    <w:p w:rsidR="00C11153" w:rsidRDefault="00C11153" w:rsidP="0079440B">
      <w:pPr>
        <w:jc w:val="both"/>
        <w:rPr>
          <w:rFonts w:ascii="Times New Roman" w:hAnsi="Times New Roman" w:cs="Times New Roman"/>
          <w:iCs/>
          <w:sz w:val="24"/>
          <w:szCs w:val="24"/>
          <w:lang w:val="en-US"/>
        </w:rPr>
      </w:pPr>
    </w:p>
    <w:p w:rsidR="008B772C" w:rsidRDefault="008B772C" w:rsidP="0079440B">
      <w:pPr>
        <w:jc w:val="both"/>
        <w:rPr>
          <w:rFonts w:ascii="Times New Roman" w:hAnsi="Times New Roman" w:cs="Times New Roman"/>
          <w:iCs/>
          <w:sz w:val="24"/>
          <w:szCs w:val="24"/>
          <w:lang w:val="en-US"/>
        </w:rPr>
      </w:pPr>
    </w:p>
    <w:p w:rsidR="008C1FB2" w:rsidRDefault="008C1FB2" w:rsidP="0079440B">
      <w:pPr>
        <w:jc w:val="both"/>
        <w:rPr>
          <w:rFonts w:ascii="Times New Roman" w:hAnsi="Times New Roman" w:cs="Times New Roman"/>
          <w:iCs/>
          <w:sz w:val="24"/>
          <w:szCs w:val="24"/>
          <w:lang w:val="en-US"/>
        </w:rPr>
      </w:pPr>
    </w:p>
    <w:p w:rsidR="008C1FB2" w:rsidRDefault="008C1FB2" w:rsidP="0079440B">
      <w:pPr>
        <w:jc w:val="both"/>
        <w:rPr>
          <w:rFonts w:ascii="Times New Roman" w:hAnsi="Times New Roman" w:cs="Times New Roman"/>
          <w:iCs/>
          <w:sz w:val="24"/>
          <w:szCs w:val="24"/>
          <w:lang w:val="en-US"/>
        </w:rPr>
      </w:pPr>
    </w:p>
    <w:p w:rsidR="008C1FB2" w:rsidRDefault="008C1FB2" w:rsidP="0079440B">
      <w:pPr>
        <w:jc w:val="both"/>
        <w:rPr>
          <w:rFonts w:ascii="Times New Roman" w:hAnsi="Times New Roman" w:cs="Times New Roman"/>
          <w:iCs/>
          <w:sz w:val="24"/>
          <w:szCs w:val="24"/>
          <w:lang w:val="en-US"/>
        </w:rPr>
      </w:pPr>
    </w:p>
    <w:p w:rsidR="008C1FB2" w:rsidRDefault="008C1FB2" w:rsidP="0079440B">
      <w:pPr>
        <w:jc w:val="both"/>
        <w:rPr>
          <w:rFonts w:ascii="Times New Roman" w:hAnsi="Times New Roman" w:cs="Times New Roman"/>
          <w:iCs/>
          <w:sz w:val="24"/>
          <w:szCs w:val="24"/>
          <w:lang w:val="en-US"/>
        </w:rPr>
      </w:pPr>
    </w:p>
    <w:p w:rsidR="008C1FB2" w:rsidRDefault="008C1FB2" w:rsidP="0079440B">
      <w:pPr>
        <w:jc w:val="both"/>
        <w:rPr>
          <w:rFonts w:ascii="Times New Roman" w:hAnsi="Times New Roman" w:cs="Times New Roman"/>
          <w:iCs/>
          <w:sz w:val="24"/>
          <w:szCs w:val="24"/>
          <w:lang w:val="en-US"/>
        </w:rPr>
      </w:pPr>
    </w:p>
    <w:p w:rsidR="008C1FB2" w:rsidRDefault="008C1FB2" w:rsidP="0079440B">
      <w:pPr>
        <w:jc w:val="both"/>
        <w:rPr>
          <w:rFonts w:ascii="Times New Roman" w:hAnsi="Times New Roman" w:cs="Times New Roman"/>
          <w:iCs/>
          <w:sz w:val="24"/>
          <w:szCs w:val="24"/>
          <w:lang w:val="en-US"/>
        </w:rPr>
      </w:pPr>
    </w:p>
    <w:p w:rsidR="008C1FB2" w:rsidRDefault="008C1FB2" w:rsidP="0079440B">
      <w:pPr>
        <w:jc w:val="both"/>
        <w:rPr>
          <w:rFonts w:ascii="Times New Roman" w:hAnsi="Times New Roman" w:cs="Times New Roman"/>
          <w:iCs/>
          <w:sz w:val="24"/>
          <w:szCs w:val="24"/>
          <w:lang w:val="en-US"/>
        </w:rPr>
      </w:pPr>
    </w:p>
    <w:p w:rsidR="008C1FB2" w:rsidRDefault="008C1FB2" w:rsidP="0079440B">
      <w:pPr>
        <w:jc w:val="both"/>
        <w:rPr>
          <w:rFonts w:ascii="Times New Roman" w:hAnsi="Times New Roman" w:cs="Times New Roman"/>
          <w:iCs/>
          <w:sz w:val="24"/>
          <w:szCs w:val="24"/>
          <w:lang w:val="en-US"/>
        </w:rPr>
      </w:pPr>
    </w:p>
    <w:p w:rsidR="00A87978" w:rsidRDefault="00A87978" w:rsidP="0079440B">
      <w:pPr>
        <w:jc w:val="both"/>
        <w:rPr>
          <w:rFonts w:ascii="Times New Roman" w:hAnsi="Times New Roman" w:cs="Times New Roman"/>
          <w:iCs/>
          <w:sz w:val="24"/>
          <w:szCs w:val="24"/>
          <w:lang w:val="en-US"/>
        </w:rPr>
      </w:pPr>
    </w:p>
    <w:p w:rsidR="00A87978" w:rsidRDefault="00A87978" w:rsidP="0079440B">
      <w:pPr>
        <w:jc w:val="both"/>
        <w:rPr>
          <w:rFonts w:ascii="Times New Roman" w:hAnsi="Times New Roman" w:cs="Times New Roman"/>
          <w:iCs/>
          <w:sz w:val="24"/>
          <w:szCs w:val="24"/>
          <w:lang w:val="en-US"/>
        </w:rPr>
      </w:pPr>
    </w:p>
    <w:p w:rsidR="00A87978" w:rsidRDefault="00A87978" w:rsidP="0079440B">
      <w:pPr>
        <w:jc w:val="both"/>
        <w:rPr>
          <w:rFonts w:ascii="Times New Roman" w:hAnsi="Times New Roman" w:cs="Times New Roman"/>
          <w:iCs/>
          <w:sz w:val="24"/>
          <w:szCs w:val="24"/>
          <w:lang w:val="en-US"/>
        </w:rPr>
      </w:pPr>
    </w:p>
    <w:p w:rsidR="008B772C" w:rsidRDefault="008B772C" w:rsidP="0079440B">
      <w:pPr>
        <w:jc w:val="both"/>
        <w:rPr>
          <w:rFonts w:ascii="Times New Roman" w:hAnsi="Times New Roman" w:cs="Times New Roman"/>
          <w:iCs/>
          <w:sz w:val="24"/>
          <w:szCs w:val="24"/>
          <w:lang w:val="en-US"/>
        </w:rPr>
      </w:pPr>
    </w:p>
    <w:p w:rsidR="008B772C" w:rsidRDefault="008541CA" w:rsidP="008B772C">
      <w:pPr>
        <w:pStyle w:val="Cmsor1"/>
        <w:rPr>
          <w:lang w:val="en-US"/>
        </w:rPr>
      </w:pPr>
      <w:bookmarkStart w:id="47" w:name="_Toc490845008"/>
      <w:r>
        <w:rPr>
          <w:lang w:val="en-US"/>
        </w:rPr>
        <w:lastRenderedPageBreak/>
        <w:t>5</w:t>
      </w:r>
      <w:r w:rsidR="008B772C">
        <w:rPr>
          <w:lang w:val="en-US"/>
        </w:rPr>
        <w:t>. References</w:t>
      </w:r>
      <w:bookmarkEnd w:id="47"/>
    </w:p>
    <w:p w:rsidR="001B2F48" w:rsidRDefault="001B2F48" w:rsidP="00D231D8">
      <w:pPr>
        <w:rPr>
          <w:lang w:val="en-GB"/>
        </w:rPr>
      </w:pPr>
    </w:p>
    <w:p w:rsidR="001B2F48" w:rsidRDefault="00911459" w:rsidP="00D231D8">
      <w:pPr>
        <w:rPr>
          <w:lang w:val="en-GB"/>
        </w:rPr>
      </w:pPr>
      <w:r w:rsidRPr="00911459">
        <w:rPr>
          <w:lang w:val="en-GB"/>
        </w:rPr>
        <w:t xml:space="preserve">Anderson, B., (2006), </w:t>
      </w:r>
      <w:r w:rsidRPr="00911459">
        <w:rPr>
          <w:i/>
          <w:lang w:val="en-GB"/>
        </w:rPr>
        <w:t>Imagined Communities</w:t>
      </w:r>
      <w:r w:rsidRPr="00911459">
        <w:rPr>
          <w:lang w:val="en-GB"/>
        </w:rPr>
        <w:t>, London;New York: Verso</w:t>
      </w:r>
    </w:p>
    <w:p w:rsidR="00A25D6B" w:rsidRDefault="00A25D6B" w:rsidP="00D231D8">
      <w:pPr>
        <w:rPr>
          <w:lang w:val="en-GB"/>
        </w:rPr>
      </w:pPr>
      <w:r w:rsidRPr="00A25D6B">
        <w:rPr>
          <w:lang w:val="en-US"/>
        </w:rPr>
        <w:t xml:space="preserve">Centers for Educational Justice and Community Inclusion, (n/a), </w:t>
      </w:r>
      <w:r w:rsidRPr="00A25D6B">
        <w:rPr>
          <w:i/>
          <w:lang w:val="en-US"/>
        </w:rPr>
        <w:t>What is a hate crime</w:t>
      </w:r>
      <w:r w:rsidRPr="00A25D6B">
        <w:rPr>
          <w:lang w:val="en-US"/>
        </w:rPr>
        <w:t xml:space="preserve">, available at: </w:t>
      </w:r>
      <w:hyperlink r:id="rId60" w:history="1">
        <w:r w:rsidRPr="00A25D6B">
          <w:rPr>
            <w:rStyle w:val="Hiperhivatkozs"/>
            <w:lang w:val="en-US"/>
          </w:rPr>
          <w:t>http://ejce.berkeley.edu/report-incident/what-hate-crime</w:t>
        </w:r>
      </w:hyperlink>
    </w:p>
    <w:p w:rsidR="00585D2D" w:rsidRDefault="00585D2D" w:rsidP="00D231D8">
      <w:pPr>
        <w:rPr>
          <w:lang w:val="en-GB"/>
        </w:rPr>
      </w:pPr>
      <w:r w:rsidRPr="00585D2D">
        <w:rPr>
          <w:lang w:val="en-US"/>
        </w:rPr>
        <w:t xml:space="preserve">ECHR (European Court of Human Rights), (2013), </w:t>
      </w:r>
      <w:r w:rsidRPr="00585D2D">
        <w:rPr>
          <w:i/>
          <w:lang w:val="en-US"/>
        </w:rPr>
        <w:t>Factsheet – Racial Discrimination</w:t>
      </w:r>
      <w:r w:rsidRPr="00585D2D">
        <w:rPr>
          <w:lang w:val="en-US"/>
        </w:rPr>
        <w:t xml:space="preserve">, available at </w:t>
      </w:r>
      <w:hyperlink r:id="rId61" w:history="1">
        <w:r w:rsidRPr="00585D2D">
          <w:rPr>
            <w:rStyle w:val="Hiperhivatkozs"/>
            <w:lang w:val="en-US"/>
          </w:rPr>
          <w:t>http://www.echr.coe.int/Documents/FS_Racial_discrimination_ENG.pdf</w:t>
        </w:r>
      </w:hyperlink>
    </w:p>
    <w:p w:rsidR="00D231D8" w:rsidRDefault="001B2F48" w:rsidP="00D231D8">
      <w:pPr>
        <w:rPr>
          <w:lang w:val="en-US"/>
        </w:rPr>
      </w:pPr>
      <w:r w:rsidRPr="001B2F48">
        <w:rPr>
          <w:lang w:val="en-GB"/>
        </w:rPr>
        <w:t xml:space="preserve">Equality and Human Rights Commission, (2016), </w:t>
      </w:r>
      <w:r w:rsidRPr="001B2F48">
        <w:rPr>
          <w:i/>
          <w:lang w:val="en-GB"/>
        </w:rPr>
        <w:t>Causes and motivations of hate crime</w:t>
      </w:r>
      <w:r w:rsidRPr="001B2F48">
        <w:rPr>
          <w:lang w:val="en-GB"/>
        </w:rPr>
        <w:t xml:space="preserve">, available at: </w:t>
      </w:r>
      <w:hyperlink r:id="rId62" w:history="1">
        <w:r w:rsidRPr="001B2F48">
          <w:rPr>
            <w:rStyle w:val="Hiperhivatkozs"/>
            <w:lang w:val="en-GB"/>
          </w:rPr>
          <w:t>https://www.equalityhumanrights.com/sites/default/files/research-report-102-causes-and-motivations-of-hate-crime.pdf</w:t>
        </w:r>
      </w:hyperlink>
    </w:p>
    <w:p w:rsidR="004B40D5" w:rsidRPr="004B40D5" w:rsidRDefault="004B40D5" w:rsidP="00D231D8">
      <w:pPr>
        <w:rPr>
          <w:bCs/>
          <w:i/>
          <w:lang w:val="en-US"/>
        </w:rPr>
      </w:pPr>
      <w:r w:rsidRPr="004B40D5">
        <w:rPr>
          <w:lang w:val="en-US"/>
        </w:rPr>
        <w:t xml:space="preserve">FRA (European Union Agency for Fundamental Rights), (2012), </w:t>
      </w:r>
      <w:r w:rsidRPr="004B40D5">
        <w:rPr>
          <w:bCs/>
          <w:i/>
          <w:lang w:val="en-GB"/>
        </w:rPr>
        <w:t xml:space="preserve">Hate crime in the European Union, available at: </w:t>
      </w:r>
      <w:hyperlink r:id="rId63" w:history="1">
        <w:r w:rsidRPr="004B40D5">
          <w:rPr>
            <w:rStyle w:val="Hiperhivatkozs"/>
            <w:lang w:val="en-US"/>
          </w:rPr>
          <w:t>http://fra.europa.eu/en/publication/2012/hate-crime-european-union</w:t>
        </w:r>
      </w:hyperlink>
    </w:p>
    <w:p w:rsidR="007A592C" w:rsidRDefault="007A592C" w:rsidP="00D231D8">
      <w:pPr>
        <w:jc w:val="both"/>
        <w:rPr>
          <w:lang w:val="en-GB"/>
        </w:rPr>
      </w:pPr>
      <w:r w:rsidRPr="007A592C">
        <w:rPr>
          <w:lang w:val="en-US"/>
        </w:rPr>
        <w:t xml:space="preserve">FRA (European Union Agency for Fundamental Rights), (2016), </w:t>
      </w:r>
      <w:r w:rsidRPr="007A592C">
        <w:rPr>
          <w:i/>
          <w:lang w:val="en-US"/>
        </w:rPr>
        <w:t>Ensuring justice for hate crime victims</w:t>
      </w:r>
      <w:r w:rsidRPr="007A592C">
        <w:rPr>
          <w:lang w:val="en-US"/>
        </w:rPr>
        <w:t xml:space="preserve">, </w:t>
      </w:r>
      <w:r w:rsidR="00585D2D">
        <w:rPr>
          <w:lang w:val="en-US"/>
        </w:rPr>
        <w:t>available at:</w:t>
      </w:r>
      <w:hyperlink r:id="rId64" w:history="1">
        <w:r w:rsidRPr="007A592C">
          <w:rPr>
            <w:rStyle w:val="Hiperhivatkozs"/>
            <w:lang w:val="en-US"/>
          </w:rPr>
          <w:t>http://fra.europa.eu/en/publication/2016/ensuring-justice-hate-crime-victims-professional-perspectives</w:t>
        </w:r>
      </w:hyperlink>
    </w:p>
    <w:p w:rsidR="00585D2D" w:rsidRPr="00585D2D" w:rsidRDefault="00585D2D" w:rsidP="00585D2D">
      <w:pPr>
        <w:jc w:val="both"/>
        <w:rPr>
          <w:lang w:val="en-US"/>
        </w:rPr>
      </w:pPr>
      <w:r w:rsidRPr="00585D2D">
        <w:rPr>
          <w:lang w:val="en-US"/>
        </w:rPr>
        <w:t>FRA (European Union Agency for Fundamental Rights), (2016</w:t>
      </w:r>
      <w:r>
        <w:rPr>
          <w:lang w:val="en-US"/>
        </w:rPr>
        <w:t>b</w:t>
      </w:r>
      <w:r w:rsidRPr="00585D2D">
        <w:rPr>
          <w:lang w:val="en-US"/>
        </w:rPr>
        <w:t xml:space="preserve">), </w:t>
      </w:r>
      <w:r w:rsidRPr="00585D2D">
        <w:rPr>
          <w:i/>
          <w:lang w:val="en-GB"/>
        </w:rPr>
        <w:t>Current migration situation in the EU: hate crime</w:t>
      </w:r>
      <w:r w:rsidRPr="00585D2D">
        <w:rPr>
          <w:lang w:val="en-US"/>
        </w:rPr>
        <w:t xml:space="preserve">, available at: </w:t>
      </w:r>
      <w:hyperlink r:id="rId65" w:history="1">
        <w:r w:rsidRPr="00585D2D">
          <w:rPr>
            <w:rStyle w:val="Hiperhivatkozs"/>
            <w:lang w:val="en-US"/>
          </w:rPr>
          <w:t>http://fra.europa.eu/sites/default/files/fra_uploads/fra-2016-november-monthly-focus-hate-crime_en.pdf</w:t>
        </w:r>
      </w:hyperlink>
    </w:p>
    <w:p w:rsidR="00585D2D" w:rsidRPr="00585D2D" w:rsidRDefault="004B40D5" w:rsidP="00D231D8">
      <w:pPr>
        <w:jc w:val="both"/>
        <w:rPr>
          <w:lang w:val="en-US"/>
        </w:rPr>
      </w:pPr>
      <w:r w:rsidRPr="004B40D5">
        <w:rPr>
          <w:lang w:val="en-US"/>
        </w:rPr>
        <w:t xml:space="preserve">FRA (European Union Agency for Fundamental Rights), (n/a), </w:t>
      </w:r>
      <w:r w:rsidRPr="004B40D5">
        <w:rPr>
          <w:bCs/>
          <w:i/>
          <w:lang w:val="en-GB"/>
        </w:rPr>
        <w:t xml:space="preserve">Compendium of practices, </w:t>
      </w:r>
      <w:r w:rsidRPr="004B40D5">
        <w:rPr>
          <w:bCs/>
          <w:lang w:val="en-GB"/>
        </w:rPr>
        <w:t>available at:</w:t>
      </w:r>
      <w:hyperlink r:id="rId66" w:history="1">
        <w:r w:rsidRPr="004B40D5">
          <w:rPr>
            <w:rStyle w:val="Hiperhivatkozs"/>
            <w:lang w:val="en-US"/>
          </w:rPr>
          <w:t>http://fra.europa.eu/en/theme/hate-crime/compendium-practices</w:t>
        </w:r>
      </w:hyperlink>
    </w:p>
    <w:p w:rsidR="00835207" w:rsidRDefault="00835207" w:rsidP="00D231D8">
      <w:pPr>
        <w:jc w:val="both"/>
        <w:rPr>
          <w:lang w:val="en-US"/>
        </w:rPr>
      </w:pPr>
      <w:r w:rsidRPr="00835207">
        <w:rPr>
          <w:lang w:val="en-GB"/>
        </w:rPr>
        <w:t xml:space="preserve">Grattet, R. &amp;Jenness, V., (2001), </w:t>
      </w:r>
      <w:r w:rsidRPr="00835207">
        <w:rPr>
          <w:bCs/>
          <w:lang w:val="en-GB"/>
        </w:rPr>
        <w:t>The Birth and Maturation of Hate Crime Policy in the United States,</w:t>
      </w:r>
      <w:r w:rsidRPr="00835207">
        <w:rPr>
          <w:lang w:val="en-GB"/>
        </w:rPr>
        <w:t xml:space="preserve"> In: </w:t>
      </w:r>
      <w:r w:rsidRPr="00835207">
        <w:rPr>
          <w:bCs/>
          <w:i/>
          <w:lang w:val="en-GB"/>
        </w:rPr>
        <w:t>The American Behavioral Scientist,</w:t>
      </w:r>
      <w:r w:rsidRPr="00835207">
        <w:rPr>
          <w:bCs/>
          <w:lang w:val="en-GB"/>
        </w:rPr>
        <w:t xml:space="preserve"> Dec 2001 Vol 45(4), </w:t>
      </w:r>
      <w:r>
        <w:rPr>
          <w:bCs/>
          <w:lang w:val="en-GB"/>
        </w:rPr>
        <w:t xml:space="preserve">pp.668-696, </w:t>
      </w:r>
      <w:r w:rsidRPr="00835207">
        <w:rPr>
          <w:bCs/>
          <w:lang w:val="en-GB"/>
        </w:rPr>
        <w:t xml:space="preserve">available at: </w:t>
      </w:r>
      <w:hyperlink r:id="rId67" w:history="1">
        <w:r w:rsidRPr="00835207">
          <w:rPr>
            <w:rStyle w:val="Hiperhivatkozs"/>
            <w:bCs/>
            <w:lang w:val="en-GB"/>
          </w:rPr>
          <w:t>http://journals.sagepub.com/doi/abs/10.1177/00027640121957420</w:t>
        </w:r>
      </w:hyperlink>
    </w:p>
    <w:p w:rsidR="00950831" w:rsidRDefault="00950831" w:rsidP="00D231D8">
      <w:pPr>
        <w:jc w:val="both"/>
        <w:rPr>
          <w:lang w:val="en-US"/>
        </w:rPr>
      </w:pPr>
      <w:r w:rsidRPr="00950831">
        <w:rPr>
          <w:lang w:val="en-GB"/>
        </w:rPr>
        <w:t xml:space="preserve">INHS (International Network for Hate Studies), (2016), </w:t>
      </w:r>
      <w:r w:rsidRPr="00950831">
        <w:rPr>
          <w:i/>
          <w:lang w:val="en-GB"/>
        </w:rPr>
        <w:t>Common European hate crime grounds: Can we find them?</w:t>
      </w:r>
      <w:r w:rsidRPr="00950831">
        <w:rPr>
          <w:lang w:val="en-GB"/>
        </w:rPr>
        <w:t xml:space="preserve">, available at: </w:t>
      </w:r>
      <w:hyperlink r:id="rId68" w:history="1">
        <w:r w:rsidRPr="00950831">
          <w:rPr>
            <w:rStyle w:val="Hiperhivatkozs"/>
            <w:lang w:val="en-GB"/>
          </w:rPr>
          <w:t>http://www.internationalhatestudies.com/common-european-hate-crime-grounds-can-we-find-them/</w:t>
        </w:r>
      </w:hyperlink>
    </w:p>
    <w:p w:rsidR="00835207" w:rsidRDefault="00835207" w:rsidP="00D231D8">
      <w:pPr>
        <w:jc w:val="both"/>
        <w:rPr>
          <w:lang w:val="en-US"/>
        </w:rPr>
      </w:pPr>
      <w:r w:rsidRPr="00835207">
        <w:rPr>
          <w:bCs/>
          <w:lang w:val="en-GB"/>
        </w:rPr>
        <w:t xml:space="preserve">Naidoo, K., (2016), The Origins of hate-crime laws, available at: </w:t>
      </w:r>
      <w:hyperlink r:id="rId69" w:history="1">
        <w:r w:rsidRPr="00835207">
          <w:rPr>
            <w:rStyle w:val="Hiperhivatkozs"/>
            <w:bCs/>
            <w:lang w:val="en-GB"/>
          </w:rPr>
          <w:t>http://www.scielo.org.za/scielo.php?script=sci_arttext&amp;pid=S1021-545X2016000100004</w:t>
        </w:r>
      </w:hyperlink>
    </w:p>
    <w:p w:rsidR="00D231D8" w:rsidRDefault="00D231D8" w:rsidP="00D231D8">
      <w:pPr>
        <w:jc w:val="both"/>
        <w:rPr>
          <w:lang w:val="en-US"/>
        </w:rPr>
      </w:pPr>
      <w:r w:rsidRPr="00D231D8">
        <w:rPr>
          <w:lang w:val="en-US"/>
        </w:rPr>
        <w:t xml:space="preserve">ODIHR, </w:t>
      </w:r>
      <w:r w:rsidRPr="00D231D8">
        <w:rPr>
          <w:i/>
          <w:iCs/>
          <w:lang w:val="en-US"/>
        </w:rPr>
        <w:t>Hate Crime Laws: A Practical Guide</w:t>
      </w:r>
      <w:r w:rsidRPr="00D231D8">
        <w:rPr>
          <w:lang w:val="en-US"/>
        </w:rPr>
        <w:t xml:space="preserve">, Warsaw: 2009. Available at: </w:t>
      </w:r>
      <w:hyperlink r:id="rId70" w:history="1">
        <w:r w:rsidRPr="00D231D8">
          <w:rPr>
            <w:rStyle w:val="Hiperhivatkozs"/>
            <w:lang w:val="en-US"/>
          </w:rPr>
          <w:t>http://www.osce.org/odihr/36426</w:t>
        </w:r>
      </w:hyperlink>
    </w:p>
    <w:p w:rsidR="0030148A" w:rsidRDefault="0030148A" w:rsidP="0030148A">
      <w:pPr>
        <w:jc w:val="both"/>
        <w:rPr>
          <w:lang w:val="en-US"/>
        </w:rPr>
      </w:pPr>
      <w:r w:rsidRPr="0030148A">
        <w:rPr>
          <w:lang w:val="en-US"/>
        </w:rPr>
        <w:t xml:space="preserve">ODIHR, (2010), </w:t>
      </w:r>
      <w:r w:rsidR="00585D2D">
        <w:rPr>
          <w:i/>
          <w:lang w:val="en-US"/>
        </w:rPr>
        <w:t>ODIHR and the Battle</w:t>
      </w:r>
      <w:r w:rsidRPr="0030148A">
        <w:rPr>
          <w:i/>
          <w:lang w:val="en-US"/>
        </w:rPr>
        <w:t>Against Hate Crime,</w:t>
      </w:r>
      <w:r w:rsidRPr="0030148A">
        <w:rPr>
          <w:lang w:val="en-US"/>
        </w:rPr>
        <w:t xml:space="preserve"> available at: </w:t>
      </w:r>
      <w:hyperlink r:id="rId71" w:history="1">
        <w:r w:rsidRPr="0030148A">
          <w:rPr>
            <w:rStyle w:val="Hiperhivatkozs"/>
            <w:lang w:val="en-US"/>
          </w:rPr>
          <w:t>http://addresshatecrime.eu/materialdocs/OSCE%20Guides/ODIHR%20and%20hate%20crime.pdf</w:t>
        </w:r>
      </w:hyperlink>
    </w:p>
    <w:p w:rsidR="00585D2D" w:rsidRPr="0030148A" w:rsidRDefault="00585D2D" w:rsidP="0030148A">
      <w:pPr>
        <w:jc w:val="both"/>
        <w:rPr>
          <w:lang w:val="en-GB"/>
        </w:rPr>
      </w:pPr>
      <w:r w:rsidRPr="00585D2D">
        <w:rPr>
          <w:lang w:val="en-GB"/>
        </w:rPr>
        <w:lastRenderedPageBreak/>
        <w:t xml:space="preserve">ODIHR, (2014), </w:t>
      </w:r>
      <w:r w:rsidRPr="00585D2D">
        <w:rPr>
          <w:i/>
          <w:lang w:val="en-US"/>
        </w:rPr>
        <w:t>Prosecuting Hate Crimes: A Practical Guide</w:t>
      </w:r>
      <w:r w:rsidRPr="00585D2D">
        <w:rPr>
          <w:lang w:val="en-US"/>
        </w:rPr>
        <w:t xml:space="preserve">, available at: </w:t>
      </w:r>
      <w:hyperlink r:id="rId72" w:history="1">
        <w:r w:rsidRPr="00585D2D">
          <w:rPr>
            <w:rStyle w:val="Hiperhivatkozs"/>
            <w:lang w:val="en-US"/>
          </w:rPr>
          <w:t>http://www.osce.org/odihr/prosecutorsguide?download=true</w:t>
        </w:r>
      </w:hyperlink>
    </w:p>
    <w:p w:rsidR="0030148A" w:rsidRDefault="00950831" w:rsidP="00D231D8">
      <w:pPr>
        <w:jc w:val="both"/>
        <w:rPr>
          <w:lang w:val="en-GB"/>
        </w:rPr>
      </w:pPr>
      <w:r w:rsidRPr="00950831">
        <w:rPr>
          <w:lang w:val="en-GB"/>
        </w:rPr>
        <w:t xml:space="preserve">ODIHR, (2017), </w:t>
      </w:r>
      <w:r w:rsidRPr="00950831">
        <w:rPr>
          <w:i/>
          <w:lang w:val="en-GB"/>
        </w:rPr>
        <w:t>Opinion on Draft Amendments to the Moldovan Criminal and Contravention Codes Relating to Bias-Motivated Offences</w:t>
      </w:r>
      <w:r w:rsidRPr="00950831">
        <w:rPr>
          <w:lang w:val="en-GB"/>
        </w:rPr>
        <w:t xml:space="preserve">, available at: </w:t>
      </w:r>
      <w:hyperlink r:id="rId73" w:history="1">
        <w:r w:rsidRPr="00950831">
          <w:rPr>
            <w:rStyle w:val="Hiperhivatkozs"/>
            <w:lang w:val="en-GB"/>
          </w:rPr>
          <w:t>http://www.osce.org/odihr/313306?download=true</w:t>
        </w:r>
      </w:hyperlink>
    </w:p>
    <w:p w:rsidR="00585D2D" w:rsidRPr="0030148A" w:rsidRDefault="00585D2D" w:rsidP="00D231D8">
      <w:pPr>
        <w:jc w:val="both"/>
        <w:rPr>
          <w:lang w:val="en-GB"/>
        </w:rPr>
      </w:pPr>
      <w:r w:rsidRPr="00585D2D">
        <w:rPr>
          <w:lang w:val="en-US"/>
        </w:rPr>
        <w:t xml:space="preserve">ODIHR, (n/a/), </w:t>
      </w:r>
      <w:r w:rsidRPr="00585D2D">
        <w:rPr>
          <w:i/>
          <w:lang w:val="en-US"/>
        </w:rPr>
        <w:t>What is hate crime</w:t>
      </w:r>
      <w:r w:rsidRPr="00585D2D">
        <w:rPr>
          <w:lang w:val="en-US"/>
        </w:rPr>
        <w:t xml:space="preserve">, available at: </w:t>
      </w:r>
      <w:hyperlink r:id="rId74" w:history="1">
        <w:r w:rsidRPr="00585D2D">
          <w:rPr>
            <w:rStyle w:val="Hiperhivatkozs"/>
            <w:lang w:val="en-US"/>
          </w:rPr>
          <w:t>http://hatecrime.osce.org/what-hate-crime</w:t>
        </w:r>
      </w:hyperlink>
    </w:p>
    <w:p w:rsidR="00D40A31" w:rsidRDefault="00D40A31" w:rsidP="00D231D8">
      <w:pPr>
        <w:jc w:val="both"/>
        <w:rPr>
          <w:lang w:val="en-US"/>
        </w:rPr>
      </w:pPr>
      <w:r w:rsidRPr="00D40A31">
        <w:rPr>
          <w:lang w:val="en-GB"/>
        </w:rPr>
        <w:t xml:space="preserve">The Guardian, (2017), </w:t>
      </w:r>
      <w:r w:rsidRPr="00D40A31">
        <w:rPr>
          <w:i/>
          <w:lang w:val="en-GB"/>
        </w:rPr>
        <w:t>Anti-Muslim hate crime surges after Manchester and London Bridge attacks</w:t>
      </w:r>
      <w:r w:rsidRPr="00D40A31">
        <w:rPr>
          <w:lang w:val="en-GB"/>
        </w:rPr>
        <w:t xml:space="preserve">, available at: </w:t>
      </w:r>
      <w:hyperlink r:id="rId75" w:history="1">
        <w:r w:rsidRPr="00D40A31">
          <w:rPr>
            <w:rStyle w:val="Hiperhivatkozs"/>
            <w:lang w:val="en-GB"/>
          </w:rPr>
          <w:t>https://www.theguardian.com/society/2017/jun/20/anti-muslim-hate-surges-after-manchester-and-london-bridge-attacks</w:t>
        </w:r>
      </w:hyperlink>
    </w:p>
    <w:p w:rsidR="00D231D8" w:rsidRPr="00D231D8" w:rsidRDefault="00D231D8" w:rsidP="00D231D8">
      <w:pPr>
        <w:jc w:val="both"/>
        <w:rPr>
          <w:lang w:val="en-US"/>
        </w:rPr>
      </w:pPr>
      <w:r w:rsidRPr="00D231D8">
        <w:rPr>
          <w:lang w:val="en-GB"/>
        </w:rPr>
        <w:t>UN General Assembly, </w:t>
      </w:r>
      <w:r w:rsidRPr="00D231D8">
        <w:rPr>
          <w:i/>
          <w:iCs/>
          <w:lang w:val="en-GB"/>
        </w:rPr>
        <w:t>Universal Declaration of Human Rights</w:t>
      </w:r>
      <w:r w:rsidRPr="00D231D8">
        <w:rPr>
          <w:lang w:val="en-GB"/>
        </w:rPr>
        <w:t xml:space="preserve">, 10 December 1948, 217 A (III), available at: </w:t>
      </w:r>
      <w:hyperlink r:id="rId76" w:history="1">
        <w:r w:rsidRPr="00D231D8">
          <w:rPr>
            <w:rStyle w:val="Hiperhivatkozs"/>
            <w:lang w:val="en-GB"/>
          </w:rPr>
          <w:t>http://www.refworld.org/docid/3ae6b3712c.html</w:t>
        </w:r>
      </w:hyperlink>
    </w:p>
    <w:sectPr w:rsidR="00D231D8" w:rsidRPr="00D231D8" w:rsidSect="00903A78">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F35" w:rsidRDefault="00453F35" w:rsidP="003B256E">
      <w:pPr>
        <w:spacing w:after="0" w:line="240" w:lineRule="auto"/>
      </w:pPr>
      <w:r>
        <w:separator/>
      </w:r>
    </w:p>
  </w:endnote>
  <w:endnote w:type="continuationSeparator" w:id="1">
    <w:p w:rsidR="00453F35" w:rsidRDefault="00453F35" w:rsidP="003B2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F35" w:rsidRDefault="00453F35" w:rsidP="003B256E">
      <w:pPr>
        <w:spacing w:after="0" w:line="240" w:lineRule="auto"/>
      </w:pPr>
      <w:r>
        <w:separator/>
      </w:r>
    </w:p>
  </w:footnote>
  <w:footnote w:type="continuationSeparator" w:id="1">
    <w:p w:rsidR="00453F35" w:rsidRDefault="00453F35" w:rsidP="003B256E">
      <w:pPr>
        <w:spacing w:after="0" w:line="240" w:lineRule="auto"/>
      </w:pPr>
      <w:r>
        <w:continuationSeparator/>
      </w:r>
    </w:p>
  </w:footnote>
  <w:footnote w:id="2">
    <w:p w:rsidR="00DD5F20" w:rsidRPr="00D231D8" w:rsidRDefault="00DD5F20" w:rsidP="006A63ED">
      <w:pPr>
        <w:pStyle w:val="Lbjegyzetszveg"/>
        <w:jc w:val="both"/>
        <w:rPr>
          <w:lang w:val="en-GB"/>
        </w:rPr>
      </w:pPr>
      <w:r>
        <w:rPr>
          <w:rStyle w:val="Lbjegyzet-hivatkozs"/>
        </w:rPr>
        <w:footnoteRef/>
      </w:r>
      <w:r>
        <w:rPr>
          <w:lang w:val="en-US"/>
        </w:rPr>
        <w:t xml:space="preserve"> Article I of the Universal Declaration of Human Rights. See</w:t>
      </w:r>
      <w:r w:rsidRPr="00D231D8">
        <w:rPr>
          <w:lang w:val="en-GB"/>
        </w:rPr>
        <w:t>UN General Assembly,</w:t>
      </w:r>
      <w:r>
        <w:rPr>
          <w:lang w:val="en-GB"/>
        </w:rPr>
        <w:t xml:space="preserve"> (1948),</w:t>
      </w:r>
      <w:r w:rsidRPr="00D231D8">
        <w:rPr>
          <w:lang w:val="en-GB"/>
        </w:rPr>
        <w:t> </w:t>
      </w:r>
      <w:r w:rsidRPr="00D231D8">
        <w:rPr>
          <w:i/>
          <w:iCs/>
          <w:lang w:val="en-GB"/>
        </w:rPr>
        <w:t>Universal Declaration of Human Rights</w:t>
      </w:r>
      <w:r w:rsidRPr="00D231D8">
        <w:rPr>
          <w:lang w:val="en-GB"/>
        </w:rPr>
        <w:t xml:space="preserve">, available at: </w:t>
      </w:r>
      <w:hyperlink r:id="rId1" w:history="1">
        <w:r w:rsidRPr="00AB3C58">
          <w:rPr>
            <w:rStyle w:val="Hiperhivatkozs"/>
            <w:lang w:val="en-GB"/>
          </w:rPr>
          <w:t>http://www.refworld.org/docid/3ae6b3712c.html</w:t>
        </w:r>
      </w:hyperlink>
    </w:p>
  </w:footnote>
  <w:footnote w:id="3">
    <w:p w:rsidR="00DD5F20" w:rsidRPr="00076326" w:rsidRDefault="00DD5F20" w:rsidP="006A63ED">
      <w:pPr>
        <w:pStyle w:val="Lbjegyzetszveg"/>
        <w:jc w:val="both"/>
        <w:rPr>
          <w:lang w:val="en-US"/>
        </w:rPr>
      </w:pPr>
      <w:r>
        <w:rPr>
          <w:rStyle w:val="Lbjegyzet-hivatkozs"/>
        </w:rPr>
        <w:footnoteRef/>
      </w:r>
      <w:r>
        <w:rPr>
          <w:lang w:val="en-US"/>
        </w:rPr>
        <w:t xml:space="preserve">ODIHR, (2009), </w:t>
      </w:r>
      <w:r w:rsidRPr="00076326">
        <w:rPr>
          <w:i/>
          <w:iCs/>
          <w:lang w:val="en-US"/>
        </w:rPr>
        <w:t>Hate Crime Laws: A Practical Guide</w:t>
      </w:r>
      <w:r>
        <w:rPr>
          <w:lang w:val="en-US"/>
        </w:rPr>
        <w:t>, available at:</w:t>
      </w:r>
      <w:hyperlink r:id="rId2" w:history="1">
        <w:r w:rsidRPr="001B2F48">
          <w:rPr>
            <w:rStyle w:val="Hiperhivatkozs"/>
            <w:lang w:val="en-US"/>
          </w:rPr>
          <w:t>http://www.osce.org/odihr/36426</w:t>
        </w:r>
      </w:hyperlink>
      <w:r>
        <w:rPr>
          <w:lang w:val="en-US"/>
        </w:rPr>
        <w:t xml:space="preserve">, </w:t>
      </w:r>
      <w:r w:rsidRPr="00076326">
        <w:rPr>
          <w:lang w:val="en-US"/>
        </w:rPr>
        <w:t>p. 16</w:t>
      </w:r>
      <w:r>
        <w:rPr>
          <w:lang w:val="en-US"/>
        </w:rPr>
        <w:t>.</w:t>
      </w:r>
    </w:p>
  </w:footnote>
  <w:footnote w:id="4">
    <w:p w:rsidR="00DD5F20" w:rsidRPr="00D231D8" w:rsidRDefault="00DD5F20" w:rsidP="006A63ED">
      <w:pPr>
        <w:pStyle w:val="Lbjegyzetszveg"/>
        <w:jc w:val="both"/>
        <w:rPr>
          <w:lang w:val="en-GB"/>
        </w:rPr>
      </w:pPr>
      <w:r>
        <w:rPr>
          <w:rStyle w:val="Lbjegyzet-hivatkozs"/>
        </w:rPr>
        <w:footnoteRef/>
      </w:r>
      <w:r w:rsidRPr="001B2F48">
        <w:rPr>
          <w:lang w:val="en-GB"/>
        </w:rPr>
        <w:t>Equality and Human Rights Commission</w:t>
      </w:r>
      <w:r>
        <w:rPr>
          <w:lang w:val="en-GB"/>
        </w:rPr>
        <w:t xml:space="preserve">, (2016), </w:t>
      </w:r>
      <w:r w:rsidRPr="001B2F48">
        <w:rPr>
          <w:i/>
          <w:lang w:val="en-GB"/>
        </w:rPr>
        <w:t>Causes and motivations of hate crime</w:t>
      </w:r>
      <w:r>
        <w:rPr>
          <w:lang w:val="en-GB"/>
        </w:rPr>
        <w:t xml:space="preserve">, available at: </w:t>
      </w:r>
      <w:hyperlink r:id="rId3" w:history="1">
        <w:r w:rsidRPr="00AB3C58">
          <w:rPr>
            <w:rStyle w:val="Hiperhivatkozs"/>
            <w:lang w:val="en-GB"/>
          </w:rPr>
          <w:t>https://www.equalityhumanrights.com/sites/default/files/research-report-102-causes-and-motivations-of-hate-crime.pdf</w:t>
        </w:r>
      </w:hyperlink>
      <w:r>
        <w:rPr>
          <w:lang w:val="en-GB"/>
        </w:rPr>
        <w:t>,  p.11</w:t>
      </w:r>
    </w:p>
  </w:footnote>
  <w:footnote w:id="5">
    <w:p w:rsidR="00DD5F20" w:rsidRPr="00D40A31" w:rsidRDefault="00DD5F20" w:rsidP="006A63ED">
      <w:pPr>
        <w:pStyle w:val="Lbjegyzetszveg"/>
        <w:jc w:val="both"/>
        <w:rPr>
          <w:lang w:val="en-GB"/>
        </w:rPr>
      </w:pPr>
      <w:r>
        <w:rPr>
          <w:rStyle w:val="Lbjegyzet-hivatkozs"/>
        </w:rPr>
        <w:footnoteRef/>
      </w:r>
      <w:r w:rsidRPr="00D40A31">
        <w:rPr>
          <w:lang w:val="en-US"/>
        </w:rPr>
        <w:t>ODIHR, (2009</w:t>
      </w:r>
      <w:r>
        <w:rPr>
          <w:lang w:val="en-US"/>
        </w:rPr>
        <w:t>), op.cit., p.16</w:t>
      </w:r>
    </w:p>
  </w:footnote>
  <w:footnote w:id="6">
    <w:p w:rsidR="00DD5F20" w:rsidRPr="00576455" w:rsidRDefault="00DD5F20" w:rsidP="006A63ED">
      <w:pPr>
        <w:pStyle w:val="Lbjegyzetszveg"/>
        <w:jc w:val="both"/>
        <w:rPr>
          <w:lang w:val="en-US"/>
        </w:rPr>
      </w:pPr>
      <w:r>
        <w:rPr>
          <w:rStyle w:val="Lbjegyzet-hivatkozs"/>
        </w:rPr>
        <w:footnoteRef/>
      </w:r>
      <w:r>
        <w:rPr>
          <w:i/>
          <w:iCs/>
          <w:lang w:val="en-US"/>
        </w:rPr>
        <w:t>Ibid,</w:t>
      </w:r>
      <w:r>
        <w:rPr>
          <w:lang w:val="en-US"/>
        </w:rPr>
        <w:t xml:space="preserve"> pp. 17-19</w:t>
      </w:r>
    </w:p>
  </w:footnote>
  <w:footnote w:id="7">
    <w:p w:rsidR="00DD5F20" w:rsidRPr="00D40A31" w:rsidRDefault="00DD5F20" w:rsidP="006A63ED">
      <w:pPr>
        <w:pStyle w:val="Lbjegyzetszveg"/>
        <w:jc w:val="both"/>
        <w:rPr>
          <w:lang w:val="en-GB"/>
        </w:rPr>
      </w:pPr>
      <w:r>
        <w:rPr>
          <w:rStyle w:val="Lbjegyzet-hivatkozs"/>
        </w:rPr>
        <w:footnoteRef/>
      </w:r>
      <w:r>
        <w:rPr>
          <w:lang w:val="en-GB"/>
        </w:rPr>
        <w:t xml:space="preserve">For instance, see The Guardian, (2017), </w:t>
      </w:r>
      <w:r w:rsidRPr="00D40A31">
        <w:rPr>
          <w:i/>
          <w:lang w:val="en-GB"/>
        </w:rPr>
        <w:t>Anti-Muslim hate crime surges after Manchester and London Bridge attacks</w:t>
      </w:r>
      <w:r>
        <w:rPr>
          <w:lang w:val="en-GB"/>
        </w:rPr>
        <w:t xml:space="preserve">, available at: </w:t>
      </w:r>
      <w:hyperlink r:id="rId4" w:history="1">
        <w:r w:rsidRPr="00AB3C58">
          <w:rPr>
            <w:rStyle w:val="Hiperhivatkozs"/>
            <w:lang w:val="en-GB"/>
          </w:rPr>
          <w:t>https://www.theguardian.com/society/2017/jun/20/anti-muslim-hate-surges-after-manchester-and-london-bridge-attacks</w:t>
        </w:r>
      </w:hyperlink>
    </w:p>
  </w:footnote>
  <w:footnote w:id="8">
    <w:p w:rsidR="00DD5F20" w:rsidRPr="00D40A31" w:rsidRDefault="00DD5F20" w:rsidP="006A63ED">
      <w:pPr>
        <w:pStyle w:val="Lbjegyzetszveg"/>
        <w:jc w:val="both"/>
        <w:rPr>
          <w:lang w:val="en-GB"/>
        </w:rPr>
      </w:pPr>
      <w:r>
        <w:rPr>
          <w:rStyle w:val="Lbjegyzet-hivatkozs"/>
        </w:rPr>
        <w:footnoteRef/>
      </w:r>
      <w:r>
        <w:rPr>
          <w:lang w:val="en-GB"/>
        </w:rPr>
        <w:t xml:space="preserve">For instance, see </w:t>
      </w:r>
      <w:r w:rsidRPr="00D40A31">
        <w:rPr>
          <w:lang w:val="en-GB"/>
        </w:rPr>
        <w:t>Equality and Human Rights Commission, (2016),</w:t>
      </w:r>
      <w:r>
        <w:rPr>
          <w:lang w:val="en-GB"/>
        </w:rPr>
        <w:t xml:space="preserve">op.cit., p.28, refers to </w:t>
      </w:r>
      <w:r w:rsidRPr="00D40A31">
        <w:rPr>
          <w:iCs/>
          <w:lang w:val="en-US"/>
        </w:rPr>
        <w:t>Gadd</w:t>
      </w:r>
      <w:r w:rsidRPr="00D40A31">
        <w:rPr>
          <w:i/>
          <w:iCs/>
          <w:lang w:val="en-US"/>
        </w:rPr>
        <w:t>et al.</w:t>
      </w:r>
      <w:r w:rsidRPr="00D40A31">
        <w:rPr>
          <w:iCs/>
          <w:lang w:val="en-US"/>
        </w:rPr>
        <w:t>, 2005; Ray and Smith, 2002</w:t>
      </w:r>
    </w:p>
  </w:footnote>
  <w:footnote w:id="9">
    <w:p w:rsidR="00DD5F20" w:rsidRPr="00BE7F99" w:rsidRDefault="00DD5F20" w:rsidP="006A63ED">
      <w:pPr>
        <w:pStyle w:val="Lbjegyzetszveg"/>
        <w:jc w:val="both"/>
        <w:rPr>
          <w:lang w:val="en-GB"/>
        </w:rPr>
      </w:pPr>
      <w:r>
        <w:rPr>
          <w:rStyle w:val="Lbjegyzet-hivatkozs"/>
        </w:rPr>
        <w:footnoteRef/>
      </w:r>
      <w:r>
        <w:rPr>
          <w:lang w:val="en-GB"/>
        </w:rPr>
        <w:t>Ibid, p.26, quotes Brown, 2010, p.7</w:t>
      </w:r>
    </w:p>
  </w:footnote>
  <w:footnote w:id="10">
    <w:p w:rsidR="00DD5F20" w:rsidRPr="0030148A" w:rsidRDefault="00DD5F20" w:rsidP="006A63ED">
      <w:pPr>
        <w:pStyle w:val="Lbjegyzetszveg"/>
        <w:jc w:val="both"/>
        <w:rPr>
          <w:lang w:val="en-GB"/>
        </w:rPr>
      </w:pPr>
      <w:r>
        <w:rPr>
          <w:rStyle w:val="Lbjegyzet-hivatkozs"/>
        </w:rPr>
        <w:footnoteRef/>
      </w:r>
      <w:r w:rsidRPr="00BE7F99">
        <w:rPr>
          <w:lang w:val="en-US"/>
        </w:rPr>
        <w:t>ODIHR, (2009), op.cit., p.16</w:t>
      </w:r>
      <w:r>
        <w:rPr>
          <w:lang w:val="en-US"/>
        </w:rPr>
        <w:t xml:space="preserve">; ODIHR, (2010), </w:t>
      </w:r>
      <w:r w:rsidRPr="0030148A">
        <w:rPr>
          <w:i/>
          <w:lang w:val="en-US"/>
        </w:rPr>
        <w:t>ODIHR and the Battle  Against Hate Crime</w:t>
      </w:r>
      <w:r>
        <w:rPr>
          <w:i/>
          <w:lang w:val="en-US"/>
        </w:rPr>
        <w:t>,</w:t>
      </w:r>
      <w:r>
        <w:rPr>
          <w:lang w:val="en-US"/>
        </w:rPr>
        <w:t xml:space="preserve"> available at: </w:t>
      </w:r>
      <w:hyperlink r:id="rId5" w:history="1">
        <w:r w:rsidRPr="00AB3C58">
          <w:rPr>
            <w:rStyle w:val="Hiperhivatkozs"/>
            <w:lang w:val="en-US"/>
          </w:rPr>
          <w:t>http://addresshatecrime.eu/materialdocs/OSCE%20Guides/ODIHR%20and%20hate%20crime.pdf</w:t>
        </w:r>
      </w:hyperlink>
    </w:p>
  </w:footnote>
  <w:footnote w:id="11">
    <w:p w:rsidR="00DD5F20" w:rsidRPr="00835207" w:rsidRDefault="00DD5F20" w:rsidP="006A63ED">
      <w:pPr>
        <w:pStyle w:val="Lbjegyzetszveg"/>
        <w:jc w:val="both"/>
        <w:rPr>
          <w:lang w:val="en-GB"/>
        </w:rPr>
      </w:pPr>
      <w:r>
        <w:rPr>
          <w:rStyle w:val="Lbjegyzet-hivatkozs"/>
        </w:rPr>
        <w:footnoteRef/>
      </w:r>
      <w:r w:rsidRPr="00835207">
        <w:rPr>
          <w:lang w:val="en-US"/>
        </w:rPr>
        <w:t>ODIHR, (2009), op.cit., p.</w:t>
      </w:r>
      <w:r>
        <w:rPr>
          <w:lang w:val="en-US"/>
        </w:rPr>
        <w:t xml:space="preserve"> 37-39</w:t>
      </w:r>
    </w:p>
  </w:footnote>
  <w:footnote w:id="12">
    <w:p w:rsidR="00DD5F20" w:rsidRPr="00835207" w:rsidRDefault="00DD5F20" w:rsidP="006A63ED">
      <w:pPr>
        <w:pStyle w:val="Lbjegyzetszveg"/>
        <w:jc w:val="both"/>
        <w:rPr>
          <w:b/>
          <w:bCs/>
          <w:lang w:val="en-GB"/>
        </w:rPr>
      </w:pPr>
      <w:r>
        <w:rPr>
          <w:rStyle w:val="Lbjegyzet-hivatkozs"/>
        </w:rPr>
        <w:footnoteRef/>
      </w:r>
      <w:r>
        <w:rPr>
          <w:lang w:val="en-GB"/>
        </w:rPr>
        <w:t xml:space="preserve">Grattet, R. &amp;Jenness, V., (2001), </w:t>
      </w:r>
      <w:r w:rsidRPr="00835207">
        <w:rPr>
          <w:bCs/>
          <w:lang w:val="en-GB"/>
        </w:rPr>
        <w:t>The Birth and Maturation of Hate Crime Policy in the United States</w:t>
      </w:r>
      <w:r>
        <w:rPr>
          <w:bCs/>
          <w:lang w:val="en-GB"/>
        </w:rPr>
        <w:t>,</w:t>
      </w:r>
      <w:r>
        <w:rPr>
          <w:lang w:val="en-GB"/>
        </w:rPr>
        <w:t xml:space="preserve">In: </w:t>
      </w:r>
      <w:r w:rsidRPr="00835207">
        <w:rPr>
          <w:bCs/>
          <w:i/>
          <w:lang w:val="en-GB"/>
        </w:rPr>
        <w:t>The American Behavioral Scientist</w:t>
      </w:r>
      <w:r>
        <w:rPr>
          <w:bCs/>
          <w:i/>
          <w:lang w:val="en-GB"/>
        </w:rPr>
        <w:t>,</w:t>
      </w:r>
      <w:r>
        <w:rPr>
          <w:bCs/>
          <w:lang w:val="en-GB"/>
        </w:rPr>
        <w:t xml:space="preserve"> Dec 2001 Vol 45(4), available at:</w:t>
      </w:r>
      <w:hyperlink r:id="rId6" w:history="1">
        <w:r w:rsidRPr="00AB3C58">
          <w:rPr>
            <w:rStyle w:val="Hiperhivatkozs"/>
            <w:bCs/>
            <w:lang w:val="en-GB"/>
          </w:rPr>
          <w:t>http://journals.sagepub.com/doi/abs/10.1177/00027640121957420</w:t>
        </w:r>
      </w:hyperlink>
      <w:r>
        <w:rPr>
          <w:bCs/>
          <w:lang w:val="en-GB"/>
        </w:rPr>
        <w:t xml:space="preserve">; Naidoo, K., (2016), The Origins of hate-crime laws, available at: </w:t>
      </w:r>
      <w:hyperlink r:id="rId7" w:history="1">
        <w:r w:rsidRPr="00AB3C58">
          <w:rPr>
            <w:rStyle w:val="Hiperhivatkozs"/>
            <w:bCs/>
            <w:lang w:val="en-GB"/>
          </w:rPr>
          <w:t>http://www.scielo.org.za/scielo.php?script=sci_arttext&amp;pid=S1021-545X2016000100004</w:t>
        </w:r>
      </w:hyperlink>
    </w:p>
  </w:footnote>
  <w:footnote w:id="13">
    <w:p w:rsidR="00DD5F20" w:rsidRPr="00950831" w:rsidRDefault="00DD5F20" w:rsidP="006A63ED">
      <w:pPr>
        <w:pStyle w:val="Lbjegyzetszveg"/>
        <w:jc w:val="both"/>
        <w:rPr>
          <w:lang w:val="en-GB"/>
        </w:rPr>
      </w:pPr>
      <w:r>
        <w:rPr>
          <w:rStyle w:val="Lbjegyzet-hivatkozs"/>
        </w:rPr>
        <w:footnoteRef/>
      </w:r>
      <w:r>
        <w:rPr>
          <w:lang w:val="en-GB"/>
        </w:rPr>
        <w:t xml:space="preserve">For instance, see ODIHR, (2017), </w:t>
      </w:r>
      <w:r>
        <w:rPr>
          <w:i/>
          <w:lang w:val="en-GB"/>
        </w:rPr>
        <w:t>Opinion on Draft Amendments to the Moldovan Criminal and Contravention Codes Relating to Bias-Motivated Offences</w:t>
      </w:r>
      <w:r>
        <w:rPr>
          <w:lang w:val="en-GB"/>
        </w:rPr>
        <w:t xml:space="preserve">, available at: </w:t>
      </w:r>
      <w:hyperlink r:id="rId8" w:history="1">
        <w:r w:rsidRPr="00AB3C58">
          <w:rPr>
            <w:rStyle w:val="Hiperhivatkozs"/>
            <w:lang w:val="en-GB"/>
          </w:rPr>
          <w:t>http://www.osce.org/odihr/313306?download=true</w:t>
        </w:r>
      </w:hyperlink>
      <w:r>
        <w:rPr>
          <w:lang w:val="en-GB"/>
        </w:rPr>
        <w:t xml:space="preserve">; INHS (International Network for Hate Studies), (2016), </w:t>
      </w:r>
      <w:r w:rsidRPr="00950831">
        <w:rPr>
          <w:i/>
          <w:lang w:val="en-GB"/>
        </w:rPr>
        <w:t>Common European hate crime grounds: Can we find them?</w:t>
      </w:r>
      <w:r>
        <w:rPr>
          <w:lang w:val="en-GB"/>
        </w:rPr>
        <w:t xml:space="preserve">, available at: </w:t>
      </w:r>
      <w:hyperlink r:id="rId9" w:history="1">
        <w:r w:rsidRPr="00AB3C58">
          <w:rPr>
            <w:rStyle w:val="Hiperhivatkozs"/>
            <w:lang w:val="en-GB"/>
          </w:rPr>
          <w:t>http://www.internationalhatestudies.com/common-european-hate-crime-grounds-can-we-find-them/</w:t>
        </w:r>
      </w:hyperlink>
    </w:p>
  </w:footnote>
  <w:footnote w:id="14">
    <w:p w:rsidR="00DD5F20" w:rsidRPr="00950831" w:rsidRDefault="00DD5F20" w:rsidP="006A63ED">
      <w:pPr>
        <w:pStyle w:val="Lbjegyzetszveg"/>
        <w:jc w:val="both"/>
        <w:rPr>
          <w:lang w:val="en-GB"/>
        </w:rPr>
      </w:pPr>
      <w:r>
        <w:rPr>
          <w:rStyle w:val="Lbjegyzet-hivatkozs"/>
        </w:rPr>
        <w:footnoteRef/>
      </w:r>
      <w:r w:rsidRPr="00950831">
        <w:rPr>
          <w:lang w:val="en-US"/>
        </w:rPr>
        <w:t>ODIHR, (2009), op.cit., p.</w:t>
      </w:r>
      <w:r>
        <w:rPr>
          <w:lang w:val="en-US"/>
        </w:rPr>
        <w:t>38</w:t>
      </w:r>
    </w:p>
  </w:footnote>
  <w:footnote w:id="15">
    <w:p w:rsidR="00DD5F20" w:rsidRPr="00911459" w:rsidRDefault="00DD5F20" w:rsidP="000D4FE0">
      <w:pPr>
        <w:pStyle w:val="Lbjegyzetszveg"/>
        <w:jc w:val="both"/>
        <w:rPr>
          <w:lang w:val="en-GB"/>
        </w:rPr>
      </w:pPr>
      <w:r>
        <w:rPr>
          <w:rStyle w:val="Lbjegyzet-hivatkozs"/>
        </w:rPr>
        <w:footnoteRef/>
      </w:r>
      <w:r>
        <w:rPr>
          <w:lang w:val="en-GB"/>
        </w:rPr>
        <w:t xml:space="preserve">Anderson, B., (2006), </w:t>
      </w:r>
      <w:r>
        <w:rPr>
          <w:i/>
          <w:lang w:val="en-GB"/>
        </w:rPr>
        <w:t>Imagined Communities</w:t>
      </w:r>
      <w:r>
        <w:rPr>
          <w:lang w:val="en-GB"/>
        </w:rPr>
        <w:t>, London; New York: Verso</w:t>
      </w:r>
    </w:p>
  </w:footnote>
  <w:footnote w:id="16">
    <w:p w:rsidR="00DD5F20" w:rsidRPr="00911459" w:rsidRDefault="00DD5F20" w:rsidP="000D4FE0">
      <w:pPr>
        <w:pStyle w:val="Lbjegyzetszveg"/>
        <w:jc w:val="both"/>
        <w:rPr>
          <w:lang w:val="en-GB"/>
        </w:rPr>
      </w:pPr>
      <w:r>
        <w:rPr>
          <w:rStyle w:val="Lbjegyzet-hivatkozs"/>
        </w:rPr>
        <w:footnoteRef/>
      </w:r>
      <w:r w:rsidRPr="00911459">
        <w:rPr>
          <w:lang w:val="en-US"/>
        </w:rPr>
        <w:t>ODIHR, (2009), op.cit., p.</w:t>
      </w:r>
      <w:r>
        <w:rPr>
          <w:lang w:val="en-US"/>
        </w:rPr>
        <w:t xml:space="preserve">40; </w:t>
      </w:r>
      <w:r w:rsidRPr="00911459">
        <w:rPr>
          <w:lang w:val="en-GB"/>
        </w:rPr>
        <w:t>Equality and Human Rights Commission, (2016),</w:t>
      </w:r>
      <w:r>
        <w:rPr>
          <w:lang w:val="en-GB"/>
        </w:rPr>
        <w:t>op.cit., p.18</w:t>
      </w:r>
    </w:p>
  </w:footnote>
  <w:footnote w:id="17">
    <w:p w:rsidR="00DD5F20" w:rsidRPr="00911459" w:rsidRDefault="00DD5F20" w:rsidP="000D4FE0">
      <w:pPr>
        <w:pStyle w:val="Lbjegyzetszveg"/>
        <w:jc w:val="both"/>
        <w:rPr>
          <w:lang w:val="en-GB"/>
        </w:rPr>
      </w:pPr>
      <w:r>
        <w:rPr>
          <w:rStyle w:val="Lbjegyzet-hivatkozs"/>
        </w:rPr>
        <w:footnoteRef/>
      </w:r>
      <w:r w:rsidRPr="00911459">
        <w:rPr>
          <w:lang w:val="en-US"/>
        </w:rPr>
        <w:t>ODIHR, (2009), op.cit.</w:t>
      </w:r>
      <w:r>
        <w:rPr>
          <w:lang w:val="en-US"/>
        </w:rPr>
        <w:t>, pp. 21-22</w:t>
      </w:r>
    </w:p>
  </w:footnote>
  <w:footnote w:id="18">
    <w:p w:rsidR="00DD5F20" w:rsidRPr="000D4FE0" w:rsidRDefault="00DD5F20" w:rsidP="000D4FE0">
      <w:pPr>
        <w:pStyle w:val="Lbjegyzetszveg"/>
        <w:jc w:val="both"/>
        <w:rPr>
          <w:lang w:val="en-GB"/>
        </w:rPr>
      </w:pPr>
      <w:r>
        <w:rPr>
          <w:rStyle w:val="Lbjegyzet-hivatkozs"/>
        </w:rPr>
        <w:footnoteRef/>
      </w:r>
      <w:r>
        <w:rPr>
          <w:lang w:val="en-GB"/>
        </w:rPr>
        <w:t xml:space="preserve">For instance, see Arendt’s masterpiece on the “Origins of Totalitarianism”, which goes to great lengths to show how the anti-Semitism characteristic of Nazi Germany was a phenomenon which had its roots in the three centuries preceding World War II. Arendt, H., (2009), </w:t>
      </w:r>
      <w:r>
        <w:rPr>
          <w:i/>
          <w:lang w:val="en-GB"/>
        </w:rPr>
        <w:t>The Origins of Totalitarianism</w:t>
      </w:r>
      <w:r>
        <w:rPr>
          <w:lang w:val="en-GB"/>
        </w:rPr>
        <w:t xml:space="preserve">, UK: </w:t>
      </w:r>
      <w:r w:rsidRPr="000D4FE0">
        <w:rPr>
          <w:lang w:val="en-GB"/>
        </w:rPr>
        <w:t xml:space="preserve">Benediction </w:t>
      </w:r>
    </w:p>
  </w:footnote>
  <w:footnote w:id="19">
    <w:p w:rsidR="00DD5F20" w:rsidRPr="000D4FE0" w:rsidRDefault="00DD5F20" w:rsidP="006A63ED">
      <w:pPr>
        <w:pStyle w:val="Lbjegyzetszveg"/>
        <w:jc w:val="both"/>
        <w:rPr>
          <w:lang w:val="en-GB"/>
        </w:rPr>
      </w:pPr>
      <w:r>
        <w:rPr>
          <w:rStyle w:val="Lbjegyzet-hivatkozs"/>
        </w:rPr>
        <w:footnoteRef/>
      </w:r>
      <w:r w:rsidRPr="000D4FE0">
        <w:rPr>
          <w:lang w:val="en-GB"/>
        </w:rPr>
        <w:t xml:space="preserve"> Equality and Human Rights Commission, (2016), op.cit., p.</w:t>
      </w:r>
      <w:r>
        <w:rPr>
          <w:lang w:val="en-GB"/>
        </w:rPr>
        <w:t>20</w:t>
      </w:r>
    </w:p>
  </w:footnote>
  <w:footnote w:id="20">
    <w:p w:rsidR="00DD5F20" w:rsidRPr="000D4FE0" w:rsidRDefault="00DD5F20" w:rsidP="006A63ED">
      <w:pPr>
        <w:pStyle w:val="Lbjegyzetszveg"/>
        <w:jc w:val="both"/>
        <w:rPr>
          <w:lang w:val="en-GB"/>
        </w:rPr>
      </w:pPr>
      <w:r>
        <w:rPr>
          <w:rStyle w:val="Lbjegyzet-hivatkozs"/>
        </w:rPr>
        <w:footnoteRef/>
      </w:r>
      <w:r>
        <w:rPr>
          <w:lang w:val="en-GB"/>
        </w:rPr>
        <w:t xml:space="preserve">For more, see </w:t>
      </w:r>
      <w:r w:rsidRPr="000D4FE0">
        <w:rPr>
          <w:lang w:val="en-GB"/>
        </w:rPr>
        <w:t>Equality and Human Rights Commission, (2016), op.cit.,</w:t>
      </w:r>
      <w:r>
        <w:rPr>
          <w:lang w:val="en-GB"/>
        </w:rPr>
        <w:t xml:space="preserve"> pp. 27-34</w:t>
      </w:r>
    </w:p>
  </w:footnote>
  <w:footnote w:id="21">
    <w:p w:rsidR="00DD5F20" w:rsidRPr="00A25D6B" w:rsidRDefault="00DD5F20" w:rsidP="006A63ED">
      <w:pPr>
        <w:pStyle w:val="Lbjegyzetszveg"/>
        <w:jc w:val="both"/>
        <w:rPr>
          <w:lang w:val="en-GB"/>
        </w:rPr>
      </w:pPr>
      <w:r>
        <w:rPr>
          <w:rStyle w:val="Lbjegyzet-hivatkozs"/>
        </w:rPr>
        <w:footnoteRef/>
      </w:r>
      <w:r w:rsidRPr="00A25D6B">
        <w:rPr>
          <w:lang w:val="en-GB"/>
        </w:rPr>
        <w:t xml:space="preserve"> Equality and Human Rights Commission, (2016), op.cit., p.</w:t>
      </w:r>
      <w:r>
        <w:rPr>
          <w:lang w:val="en-GB"/>
        </w:rPr>
        <w:t>30</w:t>
      </w:r>
    </w:p>
  </w:footnote>
  <w:footnote w:id="22">
    <w:p w:rsidR="00DD5F20" w:rsidRPr="00FD55E6" w:rsidRDefault="00DD5F20" w:rsidP="006A63ED">
      <w:pPr>
        <w:pStyle w:val="Lbjegyzetszveg"/>
        <w:jc w:val="both"/>
        <w:rPr>
          <w:lang w:val="en-US"/>
        </w:rPr>
      </w:pPr>
      <w:r>
        <w:rPr>
          <w:rStyle w:val="Lbjegyzet-hivatkozs"/>
        </w:rPr>
        <w:footnoteRef/>
      </w:r>
      <w:r w:rsidRPr="00FD55E6">
        <w:rPr>
          <w:lang w:val="en-US"/>
        </w:rPr>
        <w:t xml:space="preserve"> Centers for Educational Justice and Community Inclusion, </w:t>
      </w:r>
      <w:r>
        <w:rPr>
          <w:lang w:val="en-US"/>
        </w:rPr>
        <w:t xml:space="preserve">(n/a), </w:t>
      </w:r>
      <w:r w:rsidRPr="00A25D6B">
        <w:rPr>
          <w:i/>
          <w:lang w:val="en-US"/>
        </w:rPr>
        <w:t>What is a hate crime</w:t>
      </w:r>
      <w:r w:rsidRPr="00FD55E6">
        <w:rPr>
          <w:lang w:val="en-US"/>
        </w:rPr>
        <w:t>,</w:t>
      </w:r>
      <w:r>
        <w:rPr>
          <w:lang w:val="en-US"/>
        </w:rPr>
        <w:t xml:space="preserve"> available at:</w:t>
      </w:r>
      <w:hyperlink r:id="rId10" w:history="1">
        <w:r w:rsidRPr="00FD55E6">
          <w:rPr>
            <w:rStyle w:val="Hiperhivatkozs"/>
            <w:lang w:val="en-US"/>
          </w:rPr>
          <w:t>http://ejce.berkeley.edu/report-incident/what-hate-crime</w:t>
        </w:r>
      </w:hyperlink>
    </w:p>
  </w:footnote>
  <w:footnote w:id="23">
    <w:p w:rsidR="00DD5F20" w:rsidRPr="001453A7" w:rsidRDefault="00DD5F20" w:rsidP="006A63ED">
      <w:pPr>
        <w:pStyle w:val="Lbjegyzetszveg"/>
        <w:jc w:val="both"/>
        <w:rPr>
          <w:lang w:val="en-US"/>
        </w:rPr>
      </w:pPr>
      <w:r>
        <w:rPr>
          <w:rStyle w:val="Lbjegyzet-hivatkozs"/>
        </w:rPr>
        <w:footnoteRef/>
      </w:r>
      <w:r w:rsidRPr="00A25D6B">
        <w:rPr>
          <w:i/>
          <w:iCs/>
          <w:lang w:val="en-US"/>
        </w:rPr>
        <w:t xml:space="preserve">ODIHR, (2009), op.cit., </w:t>
      </w:r>
      <w:r w:rsidRPr="001453A7">
        <w:rPr>
          <w:lang w:val="en-US"/>
        </w:rPr>
        <w:t>p</w:t>
      </w:r>
      <w:r>
        <w:rPr>
          <w:lang w:val="en-US"/>
        </w:rPr>
        <w:t>.20</w:t>
      </w:r>
    </w:p>
  </w:footnote>
  <w:footnote w:id="24">
    <w:p w:rsidR="00DD5F20" w:rsidRPr="0085490E" w:rsidRDefault="00DD5F20" w:rsidP="006A63ED">
      <w:pPr>
        <w:pStyle w:val="Lbjegyzetszveg"/>
        <w:jc w:val="both"/>
        <w:rPr>
          <w:lang w:val="en-US"/>
        </w:rPr>
      </w:pPr>
      <w:r>
        <w:rPr>
          <w:rStyle w:val="Lbjegyzet-hivatkozs"/>
        </w:rPr>
        <w:footnoteRef/>
      </w:r>
      <w:r>
        <w:rPr>
          <w:lang w:val="en-US"/>
        </w:rPr>
        <w:t xml:space="preserve">See FRA (European Union Agency for Fundamental Rights), (2016), </w:t>
      </w:r>
      <w:r w:rsidRPr="001D4BA7">
        <w:rPr>
          <w:i/>
          <w:lang w:val="en-US"/>
        </w:rPr>
        <w:t>Ensuring justice for hate crime victims</w:t>
      </w:r>
      <w:r>
        <w:rPr>
          <w:lang w:val="en-US"/>
        </w:rPr>
        <w:t xml:space="preserve">, available at  </w:t>
      </w:r>
      <w:hyperlink r:id="rId11" w:history="1">
        <w:r w:rsidRPr="00AA1641">
          <w:rPr>
            <w:rStyle w:val="Hiperhivatkozs"/>
            <w:lang w:val="en-US"/>
          </w:rPr>
          <w:t>http://fra.europa.eu/en/publication/2016/ensuring-justice-hate-crime-victims-professional-perspectives</w:t>
        </w:r>
      </w:hyperlink>
      <w:r>
        <w:rPr>
          <w:rStyle w:val="Hiperhivatkozs"/>
          <w:lang w:val="en-US"/>
        </w:rPr>
        <w:t>,</w:t>
      </w:r>
      <w:r>
        <w:rPr>
          <w:lang w:val="en-US"/>
        </w:rPr>
        <w:t xml:space="preserve"> pp.27-35</w:t>
      </w:r>
    </w:p>
  </w:footnote>
  <w:footnote w:id="25">
    <w:p w:rsidR="00DD5F20" w:rsidRPr="002131ED" w:rsidRDefault="00DD5F20" w:rsidP="006A63ED">
      <w:pPr>
        <w:pStyle w:val="Lbjegyzetszveg"/>
        <w:jc w:val="both"/>
        <w:rPr>
          <w:lang w:val="en-US"/>
        </w:rPr>
      </w:pPr>
      <w:r>
        <w:rPr>
          <w:rStyle w:val="Lbjegyzet-hivatkozs"/>
        </w:rPr>
        <w:footnoteRef/>
      </w:r>
      <w:r w:rsidRPr="00A25D6B">
        <w:rPr>
          <w:i/>
          <w:iCs/>
          <w:lang w:val="en-US"/>
        </w:rPr>
        <w:t>ODIHR, (2009), op.cit.</w:t>
      </w:r>
      <w:r w:rsidRPr="002131ED">
        <w:rPr>
          <w:lang w:val="en-US"/>
        </w:rPr>
        <w:t>, p</w:t>
      </w:r>
      <w:r>
        <w:rPr>
          <w:lang w:val="en-US"/>
        </w:rPr>
        <w:t>.20</w:t>
      </w:r>
    </w:p>
  </w:footnote>
  <w:footnote w:id="26">
    <w:p w:rsidR="00DD5F20" w:rsidRPr="00767004" w:rsidRDefault="00DD5F20" w:rsidP="006A63ED">
      <w:pPr>
        <w:pStyle w:val="Lbjegyzetszveg"/>
        <w:jc w:val="both"/>
        <w:rPr>
          <w:lang w:val="en-US"/>
        </w:rPr>
      </w:pPr>
      <w:r>
        <w:rPr>
          <w:rStyle w:val="Lbjegyzet-hivatkozs"/>
        </w:rPr>
        <w:footnoteRef/>
      </w:r>
      <w:r>
        <w:rPr>
          <w:lang w:val="en-US"/>
        </w:rPr>
        <w:t>Articles 9 &amp; 10 of the</w:t>
      </w:r>
      <w:r w:rsidRPr="00767004">
        <w:rPr>
          <w:lang w:val="en-US"/>
        </w:rPr>
        <w:t xml:space="preserve"> European Convention on Human Rights</w:t>
      </w:r>
    </w:p>
  </w:footnote>
  <w:footnote w:id="27">
    <w:p w:rsidR="00DD5F20" w:rsidRPr="00767004" w:rsidRDefault="00DD5F20" w:rsidP="006A63ED">
      <w:pPr>
        <w:pStyle w:val="Lbjegyzetszveg"/>
        <w:jc w:val="both"/>
        <w:rPr>
          <w:lang w:val="en-US"/>
        </w:rPr>
      </w:pPr>
      <w:r>
        <w:rPr>
          <w:rStyle w:val="Lbjegyzet-hivatkozs"/>
        </w:rPr>
        <w:footnoteRef/>
      </w:r>
      <w:r>
        <w:rPr>
          <w:lang w:val="en-US"/>
        </w:rPr>
        <w:t>Article 14</w:t>
      </w:r>
      <w:r w:rsidRPr="00767004">
        <w:rPr>
          <w:lang w:val="en-US"/>
        </w:rPr>
        <w:t xml:space="preserve"> of the European Convention on Human Rights</w:t>
      </w:r>
    </w:p>
  </w:footnote>
  <w:footnote w:id="28">
    <w:p w:rsidR="00DD5F20" w:rsidRPr="00767004" w:rsidRDefault="00DD5F20" w:rsidP="006A63ED">
      <w:pPr>
        <w:pStyle w:val="Lbjegyzetszveg"/>
        <w:jc w:val="both"/>
        <w:rPr>
          <w:lang w:val="en-US"/>
        </w:rPr>
      </w:pPr>
      <w:r>
        <w:rPr>
          <w:rStyle w:val="Lbjegyzet-hivatkozs"/>
        </w:rPr>
        <w:footnoteRef/>
      </w:r>
      <w:r>
        <w:rPr>
          <w:lang w:val="en-US"/>
        </w:rPr>
        <w:t>Article 2</w:t>
      </w:r>
      <w:r w:rsidRPr="00767004">
        <w:rPr>
          <w:lang w:val="en-US"/>
        </w:rPr>
        <w:t>, Universal Declaration of Human Rights</w:t>
      </w:r>
    </w:p>
  </w:footnote>
  <w:footnote w:id="29">
    <w:p w:rsidR="00DD5F20" w:rsidRPr="009F0F65" w:rsidRDefault="00DD5F20" w:rsidP="006A63ED">
      <w:pPr>
        <w:pStyle w:val="Lbjegyzetszveg"/>
        <w:jc w:val="both"/>
        <w:rPr>
          <w:lang w:val="en-US"/>
        </w:rPr>
      </w:pPr>
      <w:r>
        <w:rPr>
          <w:rStyle w:val="Lbjegyzet-hivatkozs"/>
        </w:rPr>
        <w:footnoteRef/>
      </w:r>
      <w:r w:rsidRPr="00585D2D">
        <w:rPr>
          <w:i/>
          <w:iCs/>
          <w:lang w:val="en-US"/>
        </w:rPr>
        <w:t>ODIHR, (2009), op.cit.</w:t>
      </w:r>
      <w:r>
        <w:rPr>
          <w:i/>
          <w:iCs/>
          <w:lang w:val="en-US"/>
        </w:rPr>
        <w:t xml:space="preserve">, </w:t>
      </w:r>
      <w:r w:rsidRPr="009F0F65">
        <w:rPr>
          <w:lang w:val="en-US"/>
        </w:rPr>
        <w:t>p</w:t>
      </w:r>
      <w:r>
        <w:rPr>
          <w:lang w:val="en-US"/>
        </w:rPr>
        <w:t>.19</w:t>
      </w:r>
    </w:p>
  </w:footnote>
  <w:footnote w:id="30">
    <w:p w:rsidR="00DD5F20" w:rsidRPr="001D4BA7" w:rsidRDefault="00DD5F20" w:rsidP="006A63ED">
      <w:pPr>
        <w:pStyle w:val="Lbjegyzetszveg"/>
        <w:jc w:val="both"/>
        <w:rPr>
          <w:lang w:val="en-US"/>
        </w:rPr>
      </w:pPr>
      <w:r>
        <w:rPr>
          <w:rStyle w:val="Lbjegyzet-hivatkozs"/>
        </w:rPr>
        <w:footnoteRef/>
      </w:r>
      <w:r>
        <w:rPr>
          <w:lang w:val="en-US"/>
        </w:rPr>
        <w:t xml:space="preserve">ODIHR, (n/a/), </w:t>
      </w:r>
      <w:r w:rsidRPr="001D4BA7">
        <w:rPr>
          <w:i/>
          <w:lang w:val="en-US"/>
        </w:rPr>
        <w:t>What is hate crime</w:t>
      </w:r>
      <w:r>
        <w:rPr>
          <w:lang w:val="en-US"/>
        </w:rPr>
        <w:t xml:space="preserve">, available at: </w:t>
      </w:r>
      <w:hyperlink r:id="rId12" w:history="1">
        <w:r w:rsidRPr="00DD08CB">
          <w:rPr>
            <w:rStyle w:val="Hiperhivatkozs"/>
            <w:lang w:val="en-US"/>
          </w:rPr>
          <w:t>http://hatecrime.osce.org/what-hate-crime</w:t>
        </w:r>
      </w:hyperlink>
    </w:p>
  </w:footnote>
  <w:footnote w:id="31">
    <w:p w:rsidR="00DD5F20" w:rsidRPr="00244BFF" w:rsidRDefault="00DD5F20" w:rsidP="006A63ED">
      <w:pPr>
        <w:pStyle w:val="Lbjegyzetszveg"/>
        <w:jc w:val="both"/>
        <w:rPr>
          <w:lang w:val="en-US"/>
        </w:rPr>
      </w:pPr>
      <w:r>
        <w:rPr>
          <w:rStyle w:val="Lbjegyzet-hivatkozs"/>
        </w:rPr>
        <w:footnoteRef/>
      </w:r>
      <w:r>
        <w:rPr>
          <w:lang w:val="en-US"/>
        </w:rPr>
        <w:t>ODIHR, (2010), op.cit.</w:t>
      </w:r>
    </w:p>
  </w:footnote>
  <w:footnote w:id="32">
    <w:p w:rsidR="00DD5F20" w:rsidRPr="00B21CE0" w:rsidRDefault="00DD5F20" w:rsidP="006A63ED">
      <w:pPr>
        <w:pStyle w:val="Lbjegyzetszveg"/>
        <w:jc w:val="both"/>
        <w:rPr>
          <w:lang w:val="en-US"/>
        </w:rPr>
      </w:pPr>
      <w:r>
        <w:rPr>
          <w:rStyle w:val="Lbjegyzet-hivatkozs"/>
        </w:rPr>
        <w:footnoteRef/>
      </w:r>
      <w:r>
        <w:rPr>
          <w:lang w:val="en-GB"/>
        </w:rPr>
        <w:t xml:space="preserve">ODIHR, (2014), </w:t>
      </w:r>
      <w:r w:rsidRPr="00585D2D">
        <w:rPr>
          <w:i/>
          <w:lang w:val="en-US"/>
        </w:rPr>
        <w:t>Prosecuting Hate Crimes: A Practical Guide</w:t>
      </w:r>
      <w:r>
        <w:rPr>
          <w:lang w:val="en-US"/>
        </w:rPr>
        <w:t xml:space="preserve">, available at: </w:t>
      </w:r>
      <w:hyperlink r:id="rId13" w:history="1">
        <w:r w:rsidRPr="00AB3C58">
          <w:rPr>
            <w:rStyle w:val="Hiperhivatkozs"/>
            <w:lang w:val="en-US"/>
          </w:rPr>
          <w:t>http://www.osce.org/odihr/prosecutorsguide?download=true</w:t>
        </w:r>
      </w:hyperlink>
      <w:r>
        <w:rPr>
          <w:lang w:val="en-US"/>
        </w:rPr>
        <w:t>, p.15</w:t>
      </w:r>
    </w:p>
  </w:footnote>
  <w:footnote w:id="33">
    <w:p w:rsidR="00DD5F20" w:rsidRPr="00585D2D" w:rsidRDefault="00DD5F20" w:rsidP="006A63ED">
      <w:pPr>
        <w:pStyle w:val="Lbjegyzetszveg"/>
        <w:jc w:val="both"/>
        <w:rPr>
          <w:lang w:val="en-GB"/>
        </w:rPr>
      </w:pPr>
      <w:r>
        <w:rPr>
          <w:rStyle w:val="Lbjegyzet-hivatkozs"/>
        </w:rPr>
        <w:footnoteRef/>
      </w:r>
      <w:r w:rsidRPr="00585D2D">
        <w:rPr>
          <w:lang w:val="en-GB"/>
        </w:rPr>
        <w:t xml:space="preserve"> INHS (International Network for Hate Studies), (2016),</w:t>
      </w:r>
      <w:r>
        <w:rPr>
          <w:lang w:val="en-GB"/>
        </w:rPr>
        <w:t>op.cit.</w:t>
      </w:r>
    </w:p>
  </w:footnote>
  <w:footnote w:id="34">
    <w:p w:rsidR="00DD5F20" w:rsidRPr="00585D2D" w:rsidRDefault="00DD5F20" w:rsidP="006A63ED">
      <w:pPr>
        <w:pStyle w:val="Lbjegyzetszveg"/>
        <w:jc w:val="both"/>
        <w:rPr>
          <w:lang w:val="en-US"/>
        </w:rPr>
      </w:pPr>
      <w:r w:rsidRPr="00585D2D">
        <w:rPr>
          <w:vertAlign w:val="superscript"/>
        </w:rPr>
        <w:footnoteRef/>
      </w:r>
      <w:r w:rsidRPr="00585D2D">
        <w:rPr>
          <w:lang w:val="en-US"/>
        </w:rPr>
        <w:t>ECHR</w:t>
      </w:r>
      <w:r>
        <w:rPr>
          <w:lang w:val="en-US"/>
        </w:rPr>
        <w:t xml:space="preserve"> (European Court of Human Rights)</w:t>
      </w:r>
      <w:r w:rsidRPr="00585D2D">
        <w:rPr>
          <w:lang w:val="en-US"/>
        </w:rPr>
        <w:t>,</w:t>
      </w:r>
      <w:r>
        <w:rPr>
          <w:lang w:val="en-US"/>
        </w:rPr>
        <w:t xml:space="preserve"> (2013),</w:t>
      </w:r>
      <w:r w:rsidRPr="00585D2D">
        <w:rPr>
          <w:i/>
          <w:lang w:val="en-US"/>
        </w:rPr>
        <w:t>Factsheet – Racial Discrimination</w:t>
      </w:r>
      <w:r>
        <w:rPr>
          <w:lang w:val="en-US"/>
        </w:rPr>
        <w:t xml:space="preserve">, </w:t>
      </w:r>
      <w:r w:rsidRPr="00585D2D">
        <w:rPr>
          <w:lang w:val="en-US"/>
        </w:rPr>
        <w:t xml:space="preserve">available at </w:t>
      </w:r>
      <w:hyperlink r:id="rId14" w:history="1">
        <w:r w:rsidRPr="00585D2D">
          <w:rPr>
            <w:rStyle w:val="Hiperhivatkozs"/>
            <w:lang w:val="en-US"/>
          </w:rPr>
          <w:t>http://www.echr.coe.int/Documents/FS_Racial_discrimination_ENG.pdf</w:t>
        </w:r>
      </w:hyperlink>
      <w:r>
        <w:rPr>
          <w:lang w:val="en-GB"/>
        </w:rPr>
        <w:t>, p.3</w:t>
      </w:r>
    </w:p>
  </w:footnote>
  <w:footnote w:id="35">
    <w:p w:rsidR="00DD5F20" w:rsidRPr="000247EB" w:rsidRDefault="00DD5F20" w:rsidP="006A63ED">
      <w:pPr>
        <w:pStyle w:val="Lbjegyzetszveg"/>
        <w:jc w:val="both"/>
        <w:rPr>
          <w:lang w:val="en-US"/>
        </w:rPr>
      </w:pPr>
      <w:r>
        <w:rPr>
          <w:rStyle w:val="Lbjegyzet-hivatkozs"/>
        </w:rPr>
        <w:footnoteRef/>
      </w:r>
      <w:r>
        <w:rPr>
          <w:lang w:val="en-US"/>
        </w:rPr>
        <w:t xml:space="preserve">FRA (European Union Agency for Fundamental Rights), (2016b), </w:t>
      </w:r>
      <w:r w:rsidRPr="00585D2D">
        <w:rPr>
          <w:i/>
          <w:lang w:val="en-GB"/>
        </w:rPr>
        <w:t>Current migration situation in the EU: hate crime</w:t>
      </w:r>
      <w:r>
        <w:rPr>
          <w:lang w:val="en-US"/>
        </w:rPr>
        <w:t xml:space="preserve">, available at: </w:t>
      </w:r>
      <w:hyperlink r:id="rId15" w:history="1">
        <w:r w:rsidRPr="000247EB">
          <w:rPr>
            <w:rStyle w:val="Hiperhivatkozs"/>
            <w:lang w:val="en-US"/>
          </w:rPr>
          <w:t>http://fra.europa.eu/sites/default/files/fra_uploads/fra-2016-november-monthly-focus-hate-crime_en.pdf</w:t>
        </w:r>
      </w:hyperlink>
    </w:p>
  </w:footnote>
  <w:footnote w:id="36">
    <w:p w:rsidR="00DD5F20" w:rsidRPr="004B40D5" w:rsidRDefault="00DD5F20" w:rsidP="006A63ED">
      <w:pPr>
        <w:pStyle w:val="Lbjegyzetszveg"/>
        <w:jc w:val="both"/>
        <w:rPr>
          <w:b/>
          <w:bCs/>
          <w:lang w:val="en-GB"/>
        </w:rPr>
      </w:pPr>
      <w:r>
        <w:rPr>
          <w:rStyle w:val="Lbjegyzet-hivatkozs"/>
        </w:rPr>
        <w:footnoteRef/>
      </w:r>
      <w:r>
        <w:rPr>
          <w:lang w:val="en-US"/>
        </w:rPr>
        <w:t xml:space="preserve">For a compendium of practices, see FRA (European Union Agency for Fundamental Rights), (n/a), </w:t>
      </w:r>
      <w:r w:rsidRPr="004B40D5">
        <w:rPr>
          <w:bCs/>
          <w:i/>
          <w:lang w:val="en-GB"/>
        </w:rPr>
        <w:t>Compendium of practices</w:t>
      </w:r>
      <w:r>
        <w:rPr>
          <w:bCs/>
          <w:i/>
          <w:lang w:val="en-GB"/>
        </w:rPr>
        <w:t xml:space="preserve">, </w:t>
      </w:r>
      <w:r>
        <w:rPr>
          <w:bCs/>
          <w:lang w:val="en-GB"/>
        </w:rPr>
        <w:t>available at:</w:t>
      </w:r>
      <w:hyperlink r:id="rId16" w:history="1">
        <w:r w:rsidRPr="00FF5B61">
          <w:rPr>
            <w:rStyle w:val="Hiperhivatkozs"/>
            <w:lang w:val="en-US"/>
          </w:rPr>
          <w:t>http://fra.europa.eu/en/theme/hate-crime/compendium-practices</w:t>
        </w:r>
      </w:hyperlink>
    </w:p>
  </w:footnote>
  <w:footnote w:id="37">
    <w:p w:rsidR="00DD5F20" w:rsidRPr="004B40D5" w:rsidRDefault="00DD5F20" w:rsidP="006A63ED">
      <w:pPr>
        <w:pStyle w:val="Lbjegyzetszveg"/>
        <w:jc w:val="both"/>
        <w:rPr>
          <w:bCs/>
          <w:i/>
          <w:lang w:val="en-GB"/>
        </w:rPr>
      </w:pPr>
      <w:r>
        <w:rPr>
          <w:rStyle w:val="Lbjegyzet-hivatkozs"/>
        </w:rPr>
        <w:footnoteRef/>
      </w:r>
      <w:r>
        <w:rPr>
          <w:lang w:val="en-US"/>
        </w:rPr>
        <w:t xml:space="preserve"> FRA (European Union Agency for Fundamental Rights), (2012), </w:t>
      </w:r>
      <w:r w:rsidRPr="004B40D5">
        <w:rPr>
          <w:bCs/>
          <w:i/>
          <w:lang w:val="en-GB"/>
        </w:rPr>
        <w:t>Hate crime in the European Union</w:t>
      </w:r>
      <w:r>
        <w:rPr>
          <w:bCs/>
          <w:i/>
          <w:lang w:val="en-GB"/>
        </w:rPr>
        <w:t xml:space="preserve">, available at: </w:t>
      </w:r>
      <w:hyperlink r:id="rId17" w:history="1">
        <w:r w:rsidRPr="00AA1641">
          <w:rPr>
            <w:rStyle w:val="Hiperhivatkozs"/>
            <w:lang w:val="en-US"/>
          </w:rPr>
          <w:t>http://fra.europa.eu/en/publication/2012/hate-crime-european-union</w:t>
        </w:r>
      </w:hyperlink>
    </w:p>
  </w:footnote>
  <w:footnote w:id="38">
    <w:p w:rsidR="00DD5F20" w:rsidRPr="00E5382A" w:rsidRDefault="00DD5F20" w:rsidP="006A63ED">
      <w:pPr>
        <w:pStyle w:val="Lbjegyzetszveg"/>
        <w:jc w:val="both"/>
        <w:rPr>
          <w:lang w:val="en-US"/>
        </w:rPr>
      </w:pPr>
      <w:r>
        <w:rPr>
          <w:rStyle w:val="Lbjegyzet-hivatkozs"/>
        </w:rPr>
        <w:footnoteRef/>
      </w:r>
      <w:r w:rsidRPr="006874F0">
        <w:rPr>
          <w:lang w:val="en-US"/>
        </w:rPr>
        <w:t xml:space="preserve"> See interactive map available at </w:t>
      </w:r>
      <w:hyperlink r:id="rId18" w:history="1">
        <w:r w:rsidRPr="006874F0">
          <w:rPr>
            <w:rStyle w:val="Hiperhivatkozs"/>
            <w:lang w:val="en-US"/>
          </w:rPr>
          <w:t>http://indicators.ohchr.org/</w:t>
        </w:r>
      </w:hyperlink>
      <w:r>
        <w:rPr>
          <w:lang w:val="en-US"/>
        </w:rPr>
        <w:t xml:space="preserve">. Also, for a </w:t>
      </w:r>
      <w:r w:rsidRPr="00E5382A">
        <w:rPr>
          <w:lang w:val="en-US"/>
        </w:rPr>
        <w:t xml:space="preserve">Model Complaint Form for communications under the Optional Protocol to the International Covenant on Civil and Political Rights, the Convention against Torture and the International Convention on the Elimination of Racial  Discrimination see Annex, available at </w:t>
      </w:r>
      <w:hyperlink r:id="rId19" w:history="1">
        <w:r w:rsidRPr="00E5382A">
          <w:rPr>
            <w:rStyle w:val="Hiperhivatkozs"/>
            <w:lang w:val="en-US"/>
          </w:rPr>
          <w:t>http://www.ohchr.org/EN/HRBodies/CCPR/Pages/CCPRIndex.aspx</w:t>
        </w:r>
      </w:hyperlink>
    </w:p>
  </w:footnote>
  <w:footnote w:id="39">
    <w:p w:rsidR="00DD5F20" w:rsidRPr="00E5382A" w:rsidRDefault="00DD5F20" w:rsidP="006A63ED">
      <w:pPr>
        <w:pStyle w:val="Lbjegyzetszveg"/>
        <w:jc w:val="both"/>
        <w:rPr>
          <w:lang w:val="en-US"/>
        </w:rPr>
      </w:pPr>
      <w:r>
        <w:rPr>
          <w:rStyle w:val="Lbjegyzet-hivatkozs"/>
        </w:rPr>
        <w:footnoteRef/>
      </w:r>
      <w:r w:rsidRPr="006874F0">
        <w:rPr>
          <w:lang w:val="en-US"/>
        </w:rPr>
        <w:t xml:space="preserve"> See interactive map available at </w:t>
      </w:r>
      <w:hyperlink r:id="rId20" w:history="1">
        <w:r w:rsidRPr="006874F0">
          <w:rPr>
            <w:rStyle w:val="Hiperhivatkozs"/>
            <w:lang w:val="en-US"/>
          </w:rPr>
          <w:t>http://indicators.ohchr.org/</w:t>
        </w:r>
      </w:hyperlink>
      <w:r>
        <w:rPr>
          <w:rStyle w:val="Hiperhivatkozs"/>
          <w:color w:val="000000" w:themeColor="text1"/>
          <w:lang w:val="en-US"/>
        </w:rPr>
        <w:t>.</w:t>
      </w:r>
      <w:r w:rsidRPr="008A32EF">
        <w:rPr>
          <w:rStyle w:val="Hiperhivatkozs"/>
          <w:lang w:val="en-US"/>
        </w:rPr>
        <w:t>Also, for a Model Complaint Form</w:t>
      </w:r>
      <w:r w:rsidRPr="00E5382A">
        <w:rPr>
          <w:lang w:val="en-US"/>
        </w:rPr>
        <w:t xml:space="preserve">for communications under the Optional Protocol to the International Covenant on Civil and Political Rights, the Convention against Torture and the International Convention on the Elimination of Racial  Discrimination, see </w:t>
      </w:r>
      <w:hyperlink r:id="rId21" w:history="1">
        <w:r w:rsidRPr="00E5382A">
          <w:rPr>
            <w:rStyle w:val="Hiperhivatkozs"/>
            <w:lang w:val="en-US"/>
          </w:rPr>
          <w:t>http://www.ohchr.org/EN/HRBodies/CCPR/Pages/CCPRIndex.aspx</w:t>
        </w:r>
      </w:hyperlink>
    </w:p>
  </w:footnote>
  <w:footnote w:id="40">
    <w:p w:rsidR="00DD5F20" w:rsidRPr="000D17D2" w:rsidRDefault="00DD5F20" w:rsidP="006A63ED">
      <w:pPr>
        <w:pStyle w:val="Lbjegyzetszveg"/>
        <w:jc w:val="both"/>
        <w:rPr>
          <w:bCs/>
          <w:lang w:val="en-US"/>
        </w:rPr>
      </w:pPr>
      <w:r>
        <w:rPr>
          <w:rStyle w:val="Lbjegyzet-hivatkozs"/>
        </w:rPr>
        <w:footnoteRef/>
      </w:r>
      <w:r w:rsidRPr="000D17D2">
        <w:rPr>
          <w:bCs/>
          <w:lang w:val="en-US"/>
        </w:rPr>
        <w:t>See also Amnesty International submission to the European Commission and the Council of the European Union on the Framework Decision on racism and xenophobia (Council Framework Decision 2008/913/JHA), Ref: IOR Ref: IOR52/001/2013</w:t>
      </w:r>
      <w:r>
        <w:rPr>
          <w:bCs/>
          <w:lang w:val="en-US"/>
        </w:rPr>
        <w:t>,</w:t>
      </w:r>
      <w:r w:rsidRPr="000D17D2">
        <w:rPr>
          <w:bCs/>
          <w:lang w:val="en-US"/>
        </w:rPr>
        <w:t xml:space="preserve"> available at</w:t>
      </w:r>
      <w:r>
        <w:rPr>
          <w:bCs/>
          <w:lang w:val="en-US"/>
        </w:rPr>
        <w:t xml:space="preserve">: </w:t>
      </w:r>
      <w:hyperlink r:id="rId22" w:history="1">
        <w:r w:rsidRPr="0003159F">
          <w:rPr>
            <w:rStyle w:val="Hiperhivatkozs"/>
            <w:lang w:val="en-GB"/>
          </w:rPr>
          <w:t>https://www.amnesty.org/en/documents/IOR52/001/2013/en/</w:t>
        </w:r>
      </w:hyperlink>
    </w:p>
  </w:footnote>
  <w:footnote w:id="41">
    <w:p w:rsidR="00DD5F20" w:rsidRPr="006F3721" w:rsidRDefault="00DD5F20" w:rsidP="006A63ED">
      <w:pPr>
        <w:pStyle w:val="Lbjegyzetszveg"/>
        <w:jc w:val="both"/>
        <w:rPr>
          <w:lang w:val="en-US"/>
        </w:rPr>
      </w:pPr>
      <w:r>
        <w:rPr>
          <w:rStyle w:val="Lbjegyzet-hivatkozs"/>
        </w:rPr>
        <w:footnoteRef/>
      </w:r>
      <w:r>
        <w:rPr>
          <w:lang w:val="en-GB"/>
        </w:rPr>
        <w:t xml:space="preserve">See </w:t>
      </w:r>
      <w:r w:rsidRPr="006F3721">
        <w:rPr>
          <w:i/>
          <w:lang w:val="en-US"/>
        </w:rPr>
        <w:t>Prosecuting Hate Crimes: A Practical Guide</w:t>
      </w:r>
      <w:r w:rsidRPr="006F3721">
        <w:rPr>
          <w:lang w:val="en-US"/>
        </w:rPr>
        <w:t>, (Warsaw: ODIHR, 2014) p</w:t>
      </w:r>
      <w:r>
        <w:rPr>
          <w:lang w:val="en-US"/>
        </w:rPr>
        <w:t>p.25-29</w:t>
      </w:r>
      <w:r w:rsidRPr="006F3721">
        <w:rPr>
          <w:lang w:val="en-US"/>
        </w:rPr>
        <w:t xml:space="preserve">. Available at: </w:t>
      </w:r>
      <w:hyperlink r:id="rId23" w:history="1">
        <w:r w:rsidRPr="006F3721">
          <w:rPr>
            <w:rStyle w:val="Hiperhivatkozs"/>
            <w:lang w:val="en-US"/>
          </w:rPr>
          <w:t>http://www.osce.org/odihr/prosecutorsguide</w:t>
        </w:r>
      </w:hyperlink>
      <w:r>
        <w:rPr>
          <w:lang w:val="en-US"/>
        </w:rPr>
        <w:t xml:space="preserve">; also, see </w:t>
      </w:r>
      <w:r>
        <w:rPr>
          <w:bCs/>
          <w:lang w:val="hu-HU"/>
        </w:rPr>
        <w:t xml:space="preserve">ECtHR Case of </w:t>
      </w:r>
      <w:r w:rsidRPr="006F3721">
        <w:rPr>
          <w:bCs/>
          <w:lang w:val="hu-HU"/>
        </w:rPr>
        <w:t>Angelova and Iliev v. Bulgaria</w:t>
      </w:r>
      <w:r>
        <w:rPr>
          <w:bCs/>
          <w:lang w:val="hu-HU"/>
        </w:rPr>
        <w:t xml:space="preserve">, available at: </w:t>
      </w:r>
      <w:hyperlink r:id="rId24" w:history="1">
        <w:r w:rsidRPr="0003159F">
          <w:rPr>
            <w:rStyle w:val="Hiperhivatkozs"/>
            <w:bCs/>
            <w:lang w:val="hu-HU"/>
          </w:rPr>
          <w:t>http://hrlibrary.umn.edu/research/bulgaria/Angelova_and_Iliev_en1.pdf</w:t>
        </w:r>
      </w:hyperlink>
    </w:p>
  </w:footnote>
  <w:footnote w:id="42">
    <w:p w:rsidR="00DD5F20" w:rsidRPr="00E5382A" w:rsidRDefault="00DD5F20" w:rsidP="006A63ED">
      <w:pPr>
        <w:pStyle w:val="Lbjegyzetszveg"/>
        <w:jc w:val="both"/>
        <w:rPr>
          <w:u w:val="single"/>
          <w:lang w:val="en-US"/>
        </w:rPr>
      </w:pPr>
      <w:r>
        <w:rPr>
          <w:rStyle w:val="Lbjegyzet-hivatkozs"/>
        </w:rPr>
        <w:footnoteRef/>
      </w:r>
      <w:r w:rsidRPr="00E5382A">
        <w:rPr>
          <w:lang w:val="en-US"/>
        </w:rPr>
        <w:t xml:space="preserve">See also </w:t>
      </w:r>
      <w:r w:rsidRPr="00E5382A">
        <w:rPr>
          <w:b/>
          <w:lang w:val="en-US"/>
        </w:rPr>
        <w:t>Council conclusions on combating hate crime in the European Union,</w:t>
      </w:r>
      <w:r w:rsidRPr="00E5382A">
        <w:rPr>
          <w:lang w:val="en-US"/>
        </w:rPr>
        <w:t xml:space="preserve"> JUSTICE and HOME AFFAIRS Council meeting Bruxelles, 5 an</w:t>
      </w:r>
      <w:r>
        <w:rPr>
          <w:lang w:val="en-US"/>
        </w:rPr>
        <w:t>d 6 December 2013, available at</w:t>
      </w:r>
      <w:r w:rsidRPr="00E5382A">
        <w:rPr>
          <w:lang w:val="en-US"/>
        </w:rPr>
        <w:t xml:space="preserve">: </w:t>
      </w:r>
      <w:hyperlink r:id="rId25" w:history="1">
        <w:r w:rsidRPr="00E5382A">
          <w:rPr>
            <w:rStyle w:val="Hiperhivatkozs"/>
            <w:lang w:val="en-US"/>
          </w:rPr>
          <w:t>http://www.consilium.europa.eu/uedocs/cms_data/docs/pressdata/en/jha/139949.pdf</w:t>
        </w:r>
      </w:hyperlink>
    </w:p>
  </w:footnote>
  <w:footnote w:id="43">
    <w:p w:rsidR="00DD5F20" w:rsidRPr="00593421" w:rsidRDefault="00DD5F20" w:rsidP="006A63ED">
      <w:pPr>
        <w:pStyle w:val="Lbjegyzetszveg"/>
        <w:jc w:val="both"/>
        <w:rPr>
          <w:lang w:val="en-GB"/>
        </w:rPr>
      </w:pPr>
      <w:r>
        <w:rPr>
          <w:rStyle w:val="Lbjegyzet-hivatkozs"/>
        </w:rPr>
        <w:footnoteRef/>
      </w:r>
      <w:r>
        <w:rPr>
          <w:lang w:val="en-GB"/>
        </w:rPr>
        <w:t xml:space="preserve">See FRA, </w:t>
      </w:r>
      <w:r w:rsidRPr="00593421">
        <w:rPr>
          <w:i/>
          <w:lang w:val="en-GB"/>
        </w:rPr>
        <w:t>Ensuring justice for hate crime victims: professional perspectives</w:t>
      </w:r>
      <w:r>
        <w:rPr>
          <w:lang w:val="en-GB"/>
        </w:rPr>
        <w:t>, available at:</w:t>
      </w:r>
      <w:hyperlink r:id="rId26" w:history="1">
        <w:r w:rsidRPr="0003159F">
          <w:rPr>
            <w:rStyle w:val="Hiperhivatkozs"/>
            <w:lang w:val="en-GB"/>
          </w:rPr>
          <w:t>http://fra.europa.eu/en/publication/2016/ensuring-justice-hate-crime-victims-professional-perspectives</w:t>
        </w:r>
      </w:hyperlink>
    </w:p>
  </w:footnote>
  <w:footnote w:id="44">
    <w:p w:rsidR="00DD5F20" w:rsidRPr="00E5382A" w:rsidRDefault="00DD5F20" w:rsidP="006A63ED">
      <w:pPr>
        <w:pStyle w:val="Lbjegyzetszveg"/>
        <w:jc w:val="both"/>
        <w:rPr>
          <w:lang w:val="en-US"/>
        </w:rPr>
      </w:pPr>
      <w:r>
        <w:rPr>
          <w:rStyle w:val="Lbjegyzet-hivatkozs"/>
        </w:rPr>
        <w:footnoteRef/>
      </w:r>
      <w:r w:rsidRPr="00E5382A">
        <w:rPr>
          <w:lang w:val="en-US"/>
        </w:rPr>
        <w:t>Country monitoring work –ECRI’s country reports</w:t>
      </w:r>
      <w:r>
        <w:rPr>
          <w:lang w:val="en-US"/>
        </w:rPr>
        <w:t>,</w:t>
      </w:r>
      <w:r w:rsidRPr="00E5382A">
        <w:rPr>
          <w:lang w:val="en-US"/>
        </w:rPr>
        <w:t xml:space="preserve"> available at</w:t>
      </w:r>
      <w:r>
        <w:rPr>
          <w:lang w:val="en-US"/>
        </w:rPr>
        <w:t>:</w:t>
      </w:r>
      <w:hyperlink r:id="rId27" w:anchor="P11_223" w:history="1">
        <w:r w:rsidRPr="00E5382A">
          <w:rPr>
            <w:rStyle w:val="Hiperhivatkozs"/>
            <w:lang w:val="en-US"/>
          </w:rPr>
          <w:t>http://www.coe.int/t/dghl/monitoring/ecri/library/publications.asp#P11_223</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523"/>
    <w:multiLevelType w:val="multilevel"/>
    <w:tmpl w:val="C392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B0603"/>
    <w:multiLevelType w:val="hybridMultilevel"/>
    <w:tmpl w:val="B184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931CD"/>
    <w:multiLevelType w:val="multilevel"/>
    <w:tmpl w:val="91A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C37316"/>
    <w:multiLevelType w:val="hybridMultilevel"/>
    <w:tmpl w:val="B6AC7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610CFC"/>
    <w:multiLevelType w:val="multilevel"/>
    <w:tmpl w:val="B5EA6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D53FBE"/>
    <w:multiLevelType w:val="multilevel"/>
    <w:tmpl w:val="3C36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C50694"/>
    <w:multiLevelType w:val="hybridMultilevel"/>
    <w:tmpl w:val="84088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940B16"/>
    <w:multiLevelType w:val="multilevel"/>
    <w:tmpl w:val="0964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BA31A7"/>
    <w:multiLevelType w:val="hybridMultilevel"/>
    <w:tmpl w:val="8DA8F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92578C"/>
    <w:multiLevelType w:val="hybridMultilevel"/>
    <w:tmpl w:val="84088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2E4253"/>
    <w:multiLevelType w:val="multilevel"/>
    <w:tmpl w:val="705E4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1E453C"/>
    <w:multiLevelType w:val="multilevel"/>
    <w:tmpl w:val="B3B8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423C51"/>
    <w:multiLevelType w:val="hybridMultilevel"/>
    <w:tmpl w:val="4FAC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E56F57"/>
    <w:multiLevelType w:val="hybridMultilevel"/>
    <w:tmpl w:val="C0BED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C161CC5"/>
    <w:multiLevelType w:val="hybridMultilevel"/>
    <w:tmpl w:val="CF80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9"/>
  </w:num>
  <w:num w:numId="5">
    <w:abstractNumId w:val="2"/>
  </w:num>
  <w:num w:numId="6">
    <w:abstractNumId w:val="5"/>
  </w:num>
  <w:num w:numId="7">
    <w:abstractNumId w:val="11"/>
  </w:num>
  <w:num w:numId="8">
    <w:abstractNumId w:val="7"/>
  </w:num>
  <w:num w:numId="9">
    <w:abstractNumId w:val="10"/>
  </w:num>
  <w:num w:numId="10">
    <w:abstractNumId w:val="6"/>
  </w:num>
  <w:num w:numId="11">
    <w:abstractNumId w:val="8"/>
  </w:num>
  <w:num w:numId="12">
    <w:abstractNumId w:val="14"/>
  </w:num>
  <w:num w:numId="13">
    <w:abstractNumId w:val="3"/>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useFELayout/>
  </w:compat>
  <w:rsids>
    <w:rsidRoot w:val="0050063A"/>
    <w:rsid w:val="0000075B"/>
    <w:rsid w:val="00012E84"/>
    <w:rsid w:val="00027434"/>
    <w:rsid w:val="000415E8"/>
    <w:rsid w:val="00063C42"/>
    <w:rsid w:val="00070400"/>
    <w:rsid w:val="00071557"/>
    <w:rsid w:val="00084168"/>
    <w:rsid w:val="00091F15"/>
    <w:rsid w:val="000A6144"/>
    <w:rsid w:val="000B619C"/>
    <w:rsid w:val="000C1762"/>
    <w:rsid w:val="000C64AC"/>
    <w:rsid w:val="000D35E4"/>
    <w:rsid w:val="000D40E2"/>
    <w:rsid w:val="000D4FE0"/>
    <w:rsid w:val="000D5E23"/>
    <w:rsid w:val="000F3C8B"/>
    <w:rsid w:val="00106128"/>
    <w:rsid w:val="00113F03"/>
    <w:rsid w:val="00115F69"/>
    <w:rsid w:val="001237B1"/>
    <w:rsid w:val="00127C91"/>
    <w:rsid w:val="001361DC"/>
    <w:rsid w:val="001406E9"/>
    <w:rsid w:val="00140723"/>
    <w:rsid w:val="001425CF"/>
    <w:rsid w:val="00153788"/>
    <w:rsid w:val="00156CE2"/>
    <w:rsid w:val="001643EB"/>
    <w:rsid w:val="0016628F"/>
    <w:rsid w:val="00173999"/>
    <w:rsid w:val="001846E0"/>
    <w:rsid w:val="001978D6"/>
    <w:rsid w:val="001A6D30"/>
    <w:rsid w:val="001B0532"/>
    <w:rsid w:val="001B2F48"/>
    <w:rsid w:val="001D77E0"/>
    <w:rsid w:val="001E232D"/>
    <w:rsid w:val="001E70B5"/>
    <w:rsid w:val="001F20DB"/>
    <w:rsid w:val="00204DB2"/>
    <w:rsid w:val="00211607"/>
    <w:rsid w:val="00212077"/>
    <w:rsid w:val="00212E56"/>
    <w:rsid w:val="002164D6"/>
    <w:rsid w:val="00217967"/>
    <w:rsid w:val="00223492"/>
    <w:rsid w:val="002403B1"/>
    <w:rsid w:val="00240D85"/>
    <w:rsid w:val="00242CDD"/>
    <w:rsid w:val="00270ADB"/>
    <w:rsid w:val="002800D4"/>
    <w:rsid w:val="00297811"/>
    <w:rsid w:val="002A12EF"/>
    <w:rsid w:val="002B0585"/>
    <w:rsid w:val="002C6556"/>
    <w:rsid w:val="0030148A"/>
    <w:rsid w:val="00323E90"/>
    <w:rsid w:val="00335C85"/>
    <w:rsid w:val="00346952"/>
    <w:rsid w:val="0035239E"/>
    <w:rsid w:val="003913BD"/>
    <w:rsid w:val="003B256E"/>
    <w:rsid w:val="003C24B6"/>
    <w:rsid w:val="003C6986"/>
    <w:rsid w:val="003D6FB0"/>
    <w:rsid w:val="003E6CA5"/>
    <w:rsid w:val="003F135E"/>
    <w:rsid w:val="003F35E3"/>
    <w:rsid w:val="00401E38"/>
    <w:rsid w:val="00404811"/>
    <w:rsid w:val="00413735"/>
    <w:rsid w:val="00421C20"/>
    <w:rsid w:val="00422699"/>
    <w:rsid w:val="004435C2"/>
    <w:rsid w:val="004521C7"/>
    <w:rsid w:val="00453F35"/>
    <w:rsid w:val="00464E45"/>
    <w:rsid w:val="00465D8F"/>
    <w:rsid w:val="00465F73"/>
    <w:rsid w:val="004A0200"/>
    <w:rsid w:val="004A4209"/>
    <w:rsid w:val="004B3ECB"/>
    <w:rsid w:val="004B40D5"/>
    <w:rsid w:val="004D371C"/>
    <w:rsid w:val="004D565A"/>
    <w:rsid w:val="004E0EA6"/>
    <w:rsid w:val="004E1020"/>
    <w:rsid w:val="004F3C47"/>
    <w:rsid w:val="004F5871"/>
    <w:rsid w:val="0050063A"/>
    <w:rsid w:val="00506977"/>
    <w:rsid w:val="0055174F"/>
    <w:rsid w:val="005546B0"/>
    <w:rsid w:val="00564C19"/>
    <w:rsid w:val="00577DF1"/>
    <w:rsid w:val="00585D2D"/>
    <w:rsid w:val="005878B9"/>
    <w:rsid w:val="00595388"/>
    <w:rsid w:val="005D1497"/>
    <w:rsid w:val="00646AB0"/>
    <w:rsid w:val="00683D47"/>
    <w:rsid w:val="006902D7"/>
    <w:rsid w:val="00694130"/>
    <w:rsid w:val="0069710D"/>
    <w:rsid w:val="006A63ED"/>
    <w:rsid w:val="006B68AE"/>
    <w:rsid w:val="006D1DDC"/>
    <w:rsid w:val="006D31DF"/>
    <w:rsid w:val="00712FA6"/>
    <w:rsid w:val="00727B13"/>
    <w:rsid w:val="007375D6"/>
    <w:rsid w:val="00756D58"/>
    <w:rsid w:val="007761AA"/>
    <w:rsid w:val="00781D10"/>
    <w:rsid w:val="007916E4"/>
    <w:rsid w:val="0079440B"/>
    <w:rsid w:val="007A2D61"/>
    <w:rsid w:val="007A592C"/>
    <w:rsid w:val="007B0DF0"/>
    <w:rsid w:val="007B513C"/>
    <w:rsid w:val="007E3DF7"/>
    <w:rsid w:val="007F429C"/>
    <w:rsid w:val="00803F9F"/>
    <w:rsid w:val="008116A6"/>
    <w:rsid w:val="00825F60"/>
    <w:rsid w:val="00835207"/>
    <w:rsid w:val="008477FC"/>
    <w:rsid w:val="008541CA"/>
    <w:rsid w:val="00870683"/>
    <w:rsid w:val="00874565"/>
    <w:rsid w:val="008948A8"/>
    <w:rsid w:val="008953DD"/>
    <w:rsid w:val="008A5719"/>
    <w:rsid w:val="008B772C"/>
    <w:rsid w:val="008C07F7"/>
    <w:rsid w:val="008C1FB2"/>
    <w:rsid w:val="008D2DB3"/>
    <w:rsid w:val="009007AE"/>
    <w:rsid w:val="00900D22"/>
    <w:rsid w:val="00901FA8"/>
    <w:rsid w:val="00903A78"/>
    <w:rsid w:val="00905661"/>
    <w:rsid w:val="00905EEA"/>
    <w:rsid w:val="00911459"/>
    <w:rsid w:val="0092433B"/>
    <w:rsid w:val="00925EE6"/>
    <w:rsid w:val="0093607E"/>
    <w:rsid w:val="00942220"/>
    <w:rsid w:val="00942CE6"/>
    <w:rsid w:val="00950831"/>
    <w:rsid w:val="00950897"/>
    <w:rsid w:val="0099316A"/>
    <w:rsid w:val="009A10DF"/>
    <w:rsid w:val="009A13BA"/>
    <w:rsid w:val="009C4D94"/>
    <w:rsid w:val="009E541E"/>
    <w:rsid w:val="009F0346"/>
    <w:rsid w:val="00A15260"/>
    <w:rsid w:val="00A15B82"/>
    <w:rsid w:val="00A1790F"/>
    <w:rsid w:val="00A217FD"/>
    <w:rsid w:val="00A25B22"/>
    <w:rsid w:val="00A25D6B"/>
    <w:rsid w:val="00A31483"/>
    <w:rsid w:val="00A36883"/>
    <w:rsid w:val="00A4119A"/>
    <w:rsid w:val="00A447FB"/>
    <w:rsid w:val="00A47CE9"/>
    <w:rsid w:val="00A5291A"/>
    <w:rsid w:val="00A5365E"/>
    <w:rsid w:val="00A64593"/>
    <w:rsid w:val="00A65305"/>
    <w:rsid w:val="00A77358"/>
    <w:rsid w:val="00A87978"/>
    <w:rsid w:val="00A94522"/>
    <w:rsid w:val="00AB0486"/>
    <w:rsid w:val="00AB07DE"/>
    <w:rsid w:val="00AB4B79"/>
    <w:rsid w:val="00AE5593"/>
    <w:rsid w:val="00AE5ACC"/>
    <w:rsid w:val="00B02D10"/>
    <w:rsid w:val="00B0336C"/>
    <w:rsid w:val="00B05F98"/>
    <w:rsid w:val="00B16253"/>
    <w:rsid w:val="00B16ABA"/>
    <w:rsid w:val="00B173A9"/>
    <w:rsid w:val="00B252B4"/>
    <w:rsid w:val="00B25334"/>
    <w:rsid w:val="00B43875"/>
    <w:rsid w:val="00B452BA"/>
    <w:rsid w:val="00B75D94"/>
    <w:rsid w:val="00B916DB"/>
    <w:rsid w:val="00BA1C6F"/>
    <w:rsid w:val="00BB635D"/>
    <w:rsid w:val="00BD2A7A"/>
    <w:rsid w:val="00BE304C"/>
    <w:rsid w:val="00BE5ADE"/>
    <w:rsid w:val="00BE7F99"/>
    <w:rsid w:val="00BF7CAD"/>
    <w:rsid w:val="00C048C0"/>
    <w:rsid w:val="00C10C04"/>
    <w:rsid w:val="00C11153"/>
    <w:rsid w:val="00C11315"/>
    <w:rsid w:val="00C176BE"/>
    <w:rsid w:val="00C176DE"/>
    <w:rsid w:val="00C260F0"/>
    <w:rsid w:val="00C33AB7"/>
    <w:rsid w:val="00C34B5D"/>
    <w:rsid w:val="00C376A7"/>
    <w:rsid w:val="00C37E32"/>
    <w:rsid w:val="00C40C0C"/>
    <w:rsid w:val="00C421F9"/>
    <w:rsid w:val="00C51E42"/>
    <w:rsid w:val="00C85867"/>
    <w:rsid w:val="00C94705"/>
    <w:rsid w:val="00CA3598"/>
    <w:rsid w:val="00CB3A8A"/>
    <w:rsid w:val="00CC67CC"/>
    <w:rsid w:val="00CD080B"/>
    <w:rsid w:val="00CD1184"/>
    <w:rsid w:val="00CE3181"/>
    <w:rsid w:val="00CF7AF8"/>
    <w:rsid w:val="00D1567C"/>
    <w:rsid w:val="00D17625"/>
    <w:rsid w:val="00D231D8"/>
    <w:rsid w:val="00D25957"/>
    <w:rsid w:val="00D27213"/>
    <w:rsid w:val="00D2793E"/>
    <w:rsid w:val="00D40A31"/>
    <w:rsid w:val="00D44469"/>
    <w:rsid w:val="00D6192F"/>
    <w:rsid w:val="00D74959"/>
    <w:rsid w:val="00D8066A"/>
    <w:rsid w:val="00DA5561"/>
    <w:rsid w:val="00DB27C1"/>
    <w:rsid w:val="00DB566C"/>
    <w:rsid w:val="00DD0741"/>
    <w:rsid w:val="00DD5F20"/>
    <w:rsid w:val="00E0712A"/>
    <w:rsid w:val="00E1246C"/>
    <w:rsid w:val="00E15EC9"/>
    <w:rsid w:val="00E2086A"/>
    <w:rsid w:val="00E26A30"/>
    <w:rsid w:val="00E30001"/>
    <w:rsid w:val="00E8592A"/>
    <w:rsid w:val="00E93A01"/>
    <w:rsid w:val="00EA043D"/>
    <w:rsid w:val="00EB3F6B"/>
    <w:rsid w:val="00EC7EB8"/>
    <w:rsid w:val="00ED45CB"/>
    <w:rsid w:val="00F00883"/>
    <w:rsid w:val="00F05209"/>
    <w:rsid w:val="00F11F97"/>
    <w:rsid w:val="00F20EBD"/>
    <w:rsid w:val="00F42C1D"/>
    <w:rsid w:val="00F43DAA"/>
    <w:rsid w:val="00F44A58"/>
    <w:rsid w:val="00F52580"/>
    <w:rsid w:val="00F53BB3"/>
    <w:rsid w:val="00F944F7"/>
    <w:rsid w:val="00F95992"/>
    <w:rsid w:val="00F96F17"/>
    <w:rsid w:val="00FA3173"/>
    <w:rsid w:val="00FB5AF4"/>
    <w:rsid w:val="00FC2186"/>
    <w:rsid w:val="00FC276B"/>
    <w:rsid w:val="00FC5E75"/>
    <w:rsid w:val="00FD052B"/>
    <w:rsid w:val="00FD16D5"/>
    <w:rsid w:val="00FE7416"/>
    <w:rsid w:val="00FF0A5B"/>
    <w:rsid w:val="00FF7AF2"/>
  </w:rsids>
  <m:mathPr>
    <m:mathFont m:val="Cambria Math"/>
    <m:brkBin m:val="before"/>
    <m:brkBinSub m:val="--"/>
    <m:smallFrac/>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7625"/>
  </w:style>
  <w:style w:type="paragraph" w:styleId="Cmsor1">
    <w:name w:val="heading 1"/>
    <w:basedOn w:val="Norml"/>
    <w:next w:val="Norml"/>
    <w:link w:val="Cmsor1Char"/>
    <w:uiPriority w:val="9"/>
    <w:qFormat/>
    <w:rsid w:val="00F959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F959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F959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unhideWhenUsed/>
    <w:qFormat/>
    <w:rsid w:val="00CA359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3B256E"/>
    <w:pPr>
      <w:spacing w:after="0" w:line="240" w:lineRule="auto"/>
    </w:pPr>
    <w:rPr>
      <w:sz w:val="20"/>
      <w:szCs w:val="20"/>
    </w:rPr>
  </w:style>
  <w:style w:type="character" w:customStyle="1" w:styleId="LbjegyzetszvegChar">
    <w:name w:val="Lábjegyzetszöveg Char"/>
    <w:basedOn w:val="Bekezdsalapbettpusa"/>
    <w:link w:val="Lbjegyzetszveg"/>
    <w:uiPriority w:val="99"/>
    <w:rsid w:val="003B256E"/>
    <w:rPr>
      <w:sz w:val="20"/>
      <w:szCs w:val="20"/>
    </w:rPr>
  </w:style>
  <w:style w:type="character" w:styleId="Lbjegyzet-hivatkozs">
    <w:name w:val="footnote reference"/>
    <w:basedOn w:val="Bekezdsalapbettpusa"/>
    <w:uiPriority w:val="99"/>
    <w:semiHidden/>
    <w:unhideWhenUsed/>
    <w:rsid w:val="003B256E"/>
    <w:rPr>
      <w:vertAlign w:val="superscript"/>
    </w:rPr>
  </w:style>
  <w:style w:type="character" w:styleId="Hiperhivatkozs">
    <w:name w:val="Hyperlink"/>
    <w:basedOn w:val="Bekezdsalapbettpusa"/>
    <w:uiPriority w:val="99"/>
    <w:unhideWhenUsed/>
    <w:rsid w:val="003B256E"/>
    <w:rPr>
      <w:color w:val="0000FF" w:themeColor="hyperlink"/>
      <w:u w:val="single"/>
    </w:rPr>
  </w:style>
  <w:style w:type="paragraph" w:styleId="Buborkszveg">
    <w:name w:val="Balloon Text"/>
    <w:basedOn w:val="Norml"/>
    <w:link w:val="BuborkszvegChar"/>
    <w:uiPriority w:val="99"/>
    <w:semiHidden/>
    <w:unhideWhenUsed/>
    <w:rsid w:val="003B256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B256E"/>
    <w:rPr>
      <w:rFonts w:ascii="Tahoma" w:hAnsi="Tahoma" w:cs="Tahoma"/>
      <w:sz w:val="16"/>
      <w:szCs w:val="16"/>
    </w:rPr>
  </w:style>
  <w:style w:type="character" w:styleId="Mrltotthiperhivatkozs">
    <w:name w:val="FollowedHyperlink"/>
    <w:basedOn w:val="Bekezdsalapbettpusa"/>
    <w:uiPriority w:val="99"/>
    <w:semiHidden/>
    <w:unhideWhenUsed/>
    <w:rsid w:val="003B256E"/>
    <w:rPr>
      <w:color w:val="800080" w:themeColor="followedHyperlink"/>
      <w:u w:val="single"/>
    </w:rPr>
  </w:style>
  <w:style w:type="character" w:styleId="Finomkiemels">
    <w:name w:val="Subtle Emphasis"/>
    <w:basedOn w:val="Bekezdsalapbettpusa"/>
    <w:uiPriority w:val="19"/>
    <w:qFormat/>
    <w:rsid w:val="003B256E"/>
    <w:rPr>
      <w:i/>
      <w:iCs/>
      <w:color w:val="808080" w:themeColor="text1" w:themeTint="7F"/>
    </w:rPr>
  </w:style>
  <w:style w:type="paragraph" w:styleId="Listaszerbekezds">
    <w:name w:val="List Paragraph"/>
    <w:basedOn w:val="Norml"/>
    <w:uiPriority w:val="34"/>
    <w:qFormat/>
    <w:rsid w:val="0079440B"/>
    <w:pPr>
      <w:ind w:left="720"/>
      <w:contextualSpacing/>
    </w:pPr>
  </w:style>
  <w:style w:type="character" w:styleId="Jegyzethivatkozs">
    <w:name w:val="annotation reference"/>
    <w:basedOn w:val="Bekezdsalapbettpusa"/>
    <w:uiPriority w:val="99"/>
    <w:semiHidden/>
    <w:unhideWhenUsed/>
    <w:rsid w:val="0093607E"/>
    <w:rPr>
      <w:sz w:val="16"/>
      <w:szCs w:val="16"/>
    </w:rPr>
  </w:style>
  <w:style w:type="paragraph" w:styleId="Jegyzetszveg">
    <w:name w:val="annotation text"/>
    <w:basedOn w:val="Norml"/>
    <w:link w:val="JegyzetszvegChar"/>
    <w:uiPriority w:val="99"/>
    <w:semiHidden/>
    <w:unhideWhenUsed/>
    <w:rsid w:val="0093607E"/>
    <w:pPr>
      <w:spacing w:line="240" w:lineRule="auto"/>
    </w:pPr>
    <w:rPr>
      <w:sz w:val="20"/>
      <w:szCs w:val="20"/>
    </w:rPr>
  </w:style>
  <w:style w:type="character" w:customStyle="1" w:styleId="JegyzetszvegChar">
    <w:name w:val="Jegyzetszöveg Char"/>
    <w:basedOn w:val="Bekezdsalapbettpusa"/>
    <w:link w:val="Jegyzetszveg"/>
    <w:uiPriority w:val="99"/>
    <w:semiHidden/>
    <w:rsid w:val="0093607E"/>
    <w:rPr>
      <w:sz w:val="20"/>
      <w:szCs w:val="20"/>
    </w:rPr>
  </w:style>
  <w:style w:type="paragraph" w:styleId="Megjegyzstrgya">
    <w:name w:val="annotation subject"/>
    <w:basedOn w:val="Jegyzetszveg"/>
    <w:next w:val="Jegyzetszveg"/>
    <w:link w:val="MegjegyzstrgyaChar"/>
    <w:uiPriority w:val="99"/>
    <w:semiHidden/>
    <w:unhideWhenUsed/>
    <w:rsid w:val="0093607E"/>
    <w:rPr>
      <w:b/>
      <w:bCs/>
    </w:rPr>
  </w:style>
  <w:style w:type="character" w:customStyle="1" w:styleId="MegjegyzstrgyaChar">
    <w:name w:val="Megjegyzés tárgya Char"/>
    <w:basedOn w:val="JegyzetszvegChar"/>
    <w:link w:val="Megjegyzstrgya"/>
    <w:uiPriority w:val="99"/>
    <w:semiHidden/>
    <w:rsid w:val="0093607E"/>
    <w:rPr>
      <w:b/>
      <w:bCs/>
      <w:sz w:val="20"/>
      <w:szCs w:val="20"/>
    </w:rPr>
  </w:style>
  <w:style w:type="table" w:customStyle="1" w:styleId="MediumGrid1-Accent51">
    <w:name w:val="Medium Grid 1 - Accent 51"/>
    <w:basedOn w:val="Normltblzat"/>
    <w:next w:val="Kzepesrcs15jellszn"/>
    <w:uiPriority w:val="67"/>
    <w:rsid w:val="000B619C"/>
    <w:pPr>
      <w:spacing w:after="0" w:line="240" w:lineRule="auto"/>
    </w:pPr>
    <w:rPr>
      <w:sz w:val="24"/>
      <w:szCs w:val="24"/>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cs15jellszn">
    <w:name w:val="Medium Grid 1 Accent 5"/>
    <w:basedOn w:val="Normltblzat"/>
    <w:uiPriority w:val="67"/>
    <w:semiHidden/>
    <w:unhideWhenUsed/>
    <w:rsid w:val="000B619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52">
    <w:name w:val="Medium Grid 1 - Accent 52"/>
    <w:basedOn w:val="Normltblzat"/>
    <w:next w:val="Kzepesrcs15jellszn"/>
    <w:uiPriority w:val="67"/>
    <w:rsid w:val="00BF7CAD"/>
    <w:pPr>
      <w:spacing w:after="0" w:line="240" w:lineRule="auto"/>
    </w:pPr>
    <w:rPr>
      <w:sz w:val="24"/>
      <w:szCs w:val="24"/>
      <w:lang w:val="en-US"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Cmsor1Char">
    <w:name w:val="Címsor 1 Char"/>
    <w:basedOn w:val="Bekezdsalapbettpusa"/>
    <w:link w:val="Cmsor1"/>
    <w:uiPriority w:val="9"/>
    <w:rsid w:val="00F95992"/>
    <w:rPr>
      <w:rFonts w:asciiTheme="majorHAnsi" w:eastAsiaTheme="majorEastAsia" w:hAnsiTheme="majorHAnsi" w:cstheme="majorBidi"/>
      <w:color w:val="365F91" w:themeColor="accent1" w:themeShade="BF"/>
      <w:sz w:val="32"/>
      <w:szCs w:val="32"/>
    </w:rPr>
  </w:style>
  <w:style w:type="paragraph" w:styleId="Tartalomjegyzkcmsora">
    <w:name w:val="TOC Heading"/>
    <w:basedOn w:val="Cmsor1"/>
    <w:next w:val="Norml"/>
    <w:uiPriority w:val="39"/>
    <w:unhideWhenUsed/>
    <w:qFormat/>
    <w:rsid w:val="00F95992"/>
    <w:pPr>
      <w:spacing w:line="259" w:lineRule="auto"/>
      <w:outlineLvl w:val="9"/>
    </w:pPr>
    <w:rPr>
      <w:lang w:val="en-US" w:eastAsia="en-US"/>
    </w:rPr>
  </w:style>
  <w:style w:type="paragraph" w:styleId="TJ2">
    <w:name w:val="toc 2"/>
    <w:basedOn w:val="Norml"/>
    <w:next w:val="Norml"/>
    <w:autoRedefine/>
    <w:uiPriority w:val="39"/>
    <w:unhideWhenUsed/>
    <w:rsid w:val="00F95992"/>
    <w:pPr>
      <w:spacing w:after="100"/>
      <w:ind w:left="220"/>
    </w:pPr>
  </w:style>
  <w:style w:type="character" w:customStyle="1" w:styleId="Cmsor2Char">
    <w:name w:val="Címsor 2 Char"/>
    <w:basedOn w:val="Bekezdsalapbettpusa"/>
    <w:link w:val="Cmsor2"/>
    <w:uiPriority w:val="9"/>
    <w:rsid w:val="00F9599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F95992"/>
    <w:rPr>
      <w:rFonts w:asciiTheme="majorHAnsi" w:eastAsiaTheme="majorEastAsia" w:hAnsiTheme="majorHAnsi" w:cstheme="majorBidi"/>
      <w:color w:val="243F60" w:themeColor="accent1" w:themeShade="7F"/>
      <w:sz w:val="24"/>
      <w:szCs w:val="24"/>
    </w:rPr>
  </w:style>
  <w:style w:type="paragraph" w:styleId="TJ1">
    <w:name w:val="toc 1"/>
    <w:basedOn w:val="Norml"/>
    <w:next w:val="Norml"/>
    <w:autoRedefine/>
    <w:uiPriority w:val="39"/>
    <w:unhideWhenUsed/>
    <w:rsid w:val="00F95992"/>
    <w:pPr>
      <w:spacing w:after="100"/>
    </w:pPr>
  </w:style>
  <w:style w:type="paragraph" w:styleId="TJ3">
    <w:name w:val="toc 3"/>
    <w:basedOn w:val="Norml"/>
    <w:next w:val="Norml"/>
    <w:autoRedefine/>
    <w:uiPriority w:val="39"/>
    <w:unhideWhenUsed/>
    <w:rsid w:val="00F95992"/>
    <w:pPr>
      <w:spacing w:after="100"/>
      <w:ind w:left="440"/>
    </w:pPr>
  </w:style>
  <w:style w:type="character" w:styleId="Ershangslyozs">
    <w:name w:val="Intense Emphasis"/>
    <w:basedOn w:val="Bekezdsalapbettpusa"/>
    <w:uiPriority w:val="21"/>
    <w:qFormat/>
    <w:rsid w:val="004435C2"/>
    <w:rPr>
      <w:b/>
      <w:bCs/>
      <w:i/>
      <w:iCs/>
      <w:color w:val="4F81BD" w:themeColor="accent1"/>
    </w:rPr>
  </w:style>
  <w:style w:type="character" w:customStyle="1" w:styleId="Cmsor4Char">
    <w:name w:val="Címsor 4 Char"/>
    <w:basedOn w:val="Bekezdsalapbettpusa"/>
    <w:link w:val="Cmsor4"/>
    <w:uiPriority w:val="9"/>
    <w:rsid w:val="00CA3598"/>
    <w:rPr>
      <w:rFonts w:asciiTheme="majorHAnsi" w:eastAsiaTheme="majorEastAsia" w:hAnsiTheme="majorHAnsi" w:cstheme="majorBidi"/>
      <w:i/>
      <w:iCs/>
      <w:color w:val="365F91" w:themeColor="accent1" w:themeShade="BF"/>
    </w:rPr>
  </w:style>
  <w:style w:type="table" w:styleId="Vilgoslista2jellszn">
    <w:name w:val="Light List Accent 2"/>
    <w:basedOn w:val="Normltblzat"/>
    <w:uiPriority w:val="61"/>
    <w:rsid w:val="00CA3598"/>
    <w:pPr>
      <w:spacing w:after="0" w:line="240" w:lineRule="auto"/>
    </w:pPr>
    <w:rPr>
      <w:sz w:val="24"/>
      <w:szCs w:val="24"/>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Idzet">
    <w:name w:val="Quote"/>
    <w:basedOn w:val="Norml"/>
    <w:next w:val="Norml"/>
    <w:link w:val="IdzetChar"/>
    <w:uiPriority w:val="29"/>
    <w:qFormat/>
    <w:rsid w:val="00C94705"/>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C94705"/>
    <w:rPr>
      <w:i/>
      <w:iCs/>
      <w:color w:val="404040" w:themeColor="text1" w:themeTint="BF"/>
    </w:rPr>
  </w:style>
  <w:style w:type="paragraph" w:styleId="Nincstrkz">
    <w:name w:val="No Spacing"/>
    <w:link w:val="NincstrkzChar"/>
    <w:uiPriority w:val="1"/>
    <w:qFormat/>
    <w:rsid w:val="00903A78"/>
    <w:pPr>
      <w:spacing w:after="0" w:line="240" w:lineRule="auto"/>
    </w:pPr>
    <w:rPr>
      <w:lang w:val="en-US" w:eastAsia="en-US"/>
    </w:rPr>
  </w:style>
  <w:style w:type="character" w:customStyle="1" w:styleId="NincstrkzChar">
    <w:name w:val="Nincs térköz Char"/>
    <w:basedOn w:val="Bekezdsalapbettpusa"/>
    <w:link w:val="Nincstrkz"/>
    <w:uiPriority w:val="1"/>
    <w:rsid w:val="00903A7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959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F959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F959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CA359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B256E"/>
    <w:pPr>
      <w:spacing w:after="0" w:line="240" w:lineRule="auto"/>
    </w:pPr>
    <w:rPr>
      <w:sz w:val="20"/>
      <w:szCs w:val="20"/>
    </w:rPr>
  </w:style>
  <w:style w:type="character" w:customStyle="1" w:styleId="Char">
    <w:name w:val="Κείμενο υποσημείωσης Char"/>
    <w:basedOn w:val="a0"/>
    <w:link w:val="a3"/>
    <w:uiPriority w:val="99"/>
    <w:rsid w:val="003B256E"/>
    <w:rPr>
      <w:sz w:val="20"/>
      <w:szCs w:val="20"/>
    </w:rPr>
  </w:style>
  <w:style w:type="character" w:styleId="a4">
    <w:name w:val="footnote reference"/>
    <w:basedOn w:val="a0"/>
    <w:uiPriority w:val="99"/>
    <w:semiHidden/>
    <w:unhideWhenUsed/>
    <w:rsid w:val="003B256E"/>
    <w:rPr>
      <w:vertAlign w:val="superscript"/>
    </w:rPr>
  </w:style>
  <w:style w:type="character" w:styleId="-">
    <w:name w:val="Hyperlink"/>
    <w:basedOn w:val="a0"/>
    <w:uiPriority w:val="99"/>
    <w:unhideWhenUsed/>
    <w:rsid w:val="003B256E"/>
    <w:rPr>
      <w:color w:val="0000FF" w:themeColor="hyperlink"/>
      <w:u w:val="single"/>
    </w:rPr>
  </w:style>
  <w:style w:type="paragraph" w:styleId="a5">
    <w:name w:val="Balloon Text"/>
    <w:basedOn w:val="a"/>
    <w:link w:val="Char0"/>
    <w:uiPriority w:val="99"/>
    <w:semiHidden/>
    <w:unhideWhenUsed/>
    <w:rsid w:val="003B256E"/>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B256E"/>
    <w:rPr>
      <w:rFonts w:ascii="Tahoma" w:hAnsi="Tahoma" w:cs="Tahoma"/>
      <w:sz w:val="16"/>
      <w:szCs w:val="16"/>
    </w:rPr>
  </w:style>
  <w:style w:type="character" w:styleId="-0">
    <w:name w:val="FollowedHyperlink"/>
    <w:basedOn w:val="a0"/>
    <w:uiPriority w:val="99"/>
    <w:semiHidden/>
    <w:unhideWhenUsed/>
    <w:rsid w:val="003B256E"/>
    <w:rPr>
      <w:color w:val="800080" w:themeColor="followedHyperlink"/>
      <w:u w:val="single"/>
    </w:rPr>
  </w:style>
  <w:style w:type="character" w:styleId="a6">
    <w:name w:val="Subtle Emphasis"/>
    <w:basedOn w:val="a0"/>
    <w:uiPriority w:val="19"/>
    <w:qFormat/>
    <w:rsid w:val="003B256E"/>
    <w:rPr>
      <w:i/>
      <w:iCs/>
      <w:color w:val="808080" w:themeColor="text1" w:themeTint="7F"/>
    </w:rPr>
  </w:style>
  <w:style w:type="paragraph" w:styleId="a7">
    <w:name w:val="List Paragraph"/>
    <w:basedOn w:val="a"/>
    <w:uiPriority w:val="34"/>
    <w:qFormat/>
    <w:rsid w:val="0079440B"/>
    <w:pPr>
      <w:ind w:left="720"/>
      <w:contextualSpacing/>
    </w:pPr>
  </w:style>
  <w:style w:type="character" w:styleId="a8">
    <w:name w:val="annotation reference"/>
    <w:basedOn w:val="a0"/>
    <w:uiPriority w:val="99"/>
    <w:semiHidden/>
    <w:unhideWhenUsed/>
    <w:rsid w:val="0093607E"/>
    <w:rPr>
      <w:sz w:val="16"/>
      <w:szCs w:val="16"/>
    </w:rPr>
  </w:style>
  <w:style w:type="paragraph" w:styleId="a9">
    <w:name w:val="annotation text"/>
    <w:basedOn w:val="a"/>
    <w:link w:val="Char1"/>
    <w:uiPriority w:val="99"/>
    <w:semiHidden/>
    <w:unhideWhenUsed/>
    <w:rsid w:val="0093607E"/>
    <w:pPr>
      <w:spacing w:line="240" w:lineRule="auto"/>
    </w:pPr>
    <w:rPr>
      <w:sz w:val="20"/>
      <w:szCs w:val="20"/>
    </w:rPr>
  </w:style>
  <w:style w:type="character" w:customStyle="1" w:styleId="Char1">
    <w:name w:val="Κείμενο σχολίου Char"/>
    <w:basedOn w:val="a0"/>
    <w:link w:val="a9"/>
    <w:uiPriority w:val="99"/>
    <w:semiHidden/>
    <w:rsid w:val="0093607E"/>
    <w:rPr>
      <w:sz w:val="20"/>
      <w:szCs w:val="20"/>
    </w:rPr>
  </w:style>
  <w:style w:type="paragraph" w:styleId="aa">
    <w:name w:val="annotation subject"/>
    <w:basedOn w:val="a9"/>
    <w:next w:val="a9"/>
    <w:link w:val="Char2"/>
    <w:uiPriority w:val="99"/>
    <w:semiHidden/>
    <w:unhideWhenUsed/>
    <w:rsid w:val="0093607E"/>
    <w:rPr>
      <w:b/>
      <w:bCs/>
    </w:rPr>
  </w:style>
  <w:style w:type="character" w:customStyle="1" w:styleId="Char2">
    <w:name w:val="Θέμα σχολίου Char"/>
    <w:basedOn w:val="Char1"/>
    <w:link w:val="aa"/>
    <w:uiPriority w:val="99"/>
    <w:semiHidden/>
    <w:rsid w:val="0093607E"/>
    <w:rPr>
      <w:b/>
      <w:bCs/>
      <w:sz w:val="20"/>
      <w:szCs w:val="20"/>
    </w:rPr>
  </w:style>
  <w:style w:type="table" w:customStyle="1" w:styleId="MediumGrid1-Accent51">
    <w:name w:val="Medium Grid 1 - Accent 51"/>
    <w:basedOn w:val="a1"/>
    <w:next w:val="1-5"/>
    <w:uiPriority w:val="67"/>
    <w:rsid w:val="000B619C"/>
    <w:pPr>
      <w:spacing w:after="0" w:line="240" w:lineRule="auto"/>
    </w:pPr>
    <w:rPr>
      <w:sz w:val="24"/>
      <w:szCs w:val="24"/>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5">
    <w:name w:val="Medium Grid 1 Accent 5"/>
    <w:basedOn w:val="a1"/>
    <w:uiPriority w:val="67"/>
    <w:semiHidden/>
    <w:unhideWhenUsed/>
    <w:rsid w:val="000B619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52">
    <w:name w:val="Medium Grid 1 - Accent 52"/>
    <w:basedOn w:val="a1"/>
    <w:next w:val="1-5"/>
    <w:uiPriority w:val="67"/>
    <w:rsid w:val="00BF7CAD"/>
    <w:pPr>
      <w:spacing w:after="0" w:line="240" w:lineRule="auto"/>
    </w:pPr>
    <w:rPr>
      <w:sz w:val="24"/>
      <w:szCs w:val="24"/>
      <w:lang w:val="en-US"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1Char">
    <w:name w:val="Επικεφαλίδα 1 Char"/>
    <w:basedOn w:val="a0"/>
    <w:link w:val="1"/>
    <w:uiPriority w:val="9"/>
    <w:rsid w:val="00F95992"/>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F95992"/>
    <w:pPr>
      <w:spacing w:line="259" w:lineRule="auto"/>
      <w:outlineLvl w:val="9"/>
    </w:pPr>
    <w:rPr>
      <w:lang w:val="en-US" w:eastAsia="en-US"/>
    </w:rPr>
  </w:style>
  <w:style w:type="paragraph" w:styleId="20">
    <w:name w:val="toc 2"/>
    <w:basedOn w:val="a"/>
    <w:next w:val="a"/>
    <w:autoRedefine/>
    <w:uiPriority w:val="39"/>
    <w:unhideWhenUsed/>
    <w:rsid w:val="00F95992"/>
    <w:pPr>
      <w:spacing w:after="100"/>
      <w:ind w:left="220"/>
    </w:pPr>
  </w:style>
  <w:style w:type="character" w:customStyle="1" w:styleId="2Char">
    <w:name w:val="Επικεφαλίδα 2 Char"/>
    <w:basedOn w:val="a0"/>
    <w:link w:val="2"/>
    <w:uiPriority w:val="9"/>
    <w:rsid w:val="00F95992"/>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F95992"/>
    <w:rPr>
      <w:rFonts w:asciiTheme="majorHAnsi" w:eastAsiaTheme="majorEastAsia" w:hAnsiTheme="majorHAnsi" w:cstheme="majorBidi"/>
      <w:color w:val="243F60" w:themeColor="accent1" w:themeShade="7F"/>
      <w:sz w:val="24"/>
      <w:szCs w:val="24"/>
    </w:rPr>
  </w:style>
  <w:style w:type="paragraph" w:styleId="10">
    <w:name w:val="toc 1"/>
    <w:basedOn w:val="a"/>
    <w:next w:val="a"/>
    <w:autoRedefine/>
    <w:uiPriority w:val="39"/>
    <w:unhideWhenUsed/>
    <w:rsid w:val="00F95992"/>
    <w:pPr>
      <w:spacing w:after="100"/>
    </w:pPr>
  </w:style>
  <w:style w:type="paragraph" w:styleId="30">
    <w:name w:val="toc 3"/>
    <w:basedOn w:val="a"/>
    <w:next w:val="a"/>
    <w:autoRedefine/>
    <w:uiPriority w:val="39"/>
    <w:unhideWhenUsed/>
    <w:rsid w:val="00F95992"/>
    <w:pPr>
      <w:spacing w:after="100"/>
      <w:ind w:left="440"/>
    </w:pPr>
  </w:style>
  <w:style w:type="character" w:styleId="ac">
    <w:name w:val="Intense Emphasis"/>
    <w:basedOn w:val="a0"/>
    <w:uiPriority w:val="21"/>
    <w:qFormat/>
    <w:rsid w:val="004435C2"/>
    <w:rPr>
      <w:b/>
      <w:bCs/>
      <w:i/>
      <w:iCs/>
      <w:color w:val="4F81BD" w:themeColor="accent1"/>
    </w:rPr>
  </w:style>
  <w:style w:type="character" w:customStyle="1" w:styleId="4Char">
    <w:name w:val="Επικεφαλίδα 4 Char"/>
    <w:basedOn w:val="a0"/>
    <w:link w:val="4"/>
    <w:uiPriority w:val="9"/>
    <w:rsid w:val="00CA3598"/>
    <w:rPr>
      <w:rFonts w:asciiTheme="majorHAnsi" w:eastAsiaTheme="majorEastAsia" w:hAnsiTheme="majorHAnsi" w:cstheme="majorBidi"/>
      <w:i/>
      <w:iCs/>
      <w:color w:val="365F91" w:themeColor="accent1" w:themeShade="BF"/>
    </w:rPr>
  </w:style>
  <w:style w:type="table" w:styleId="-2">
    <w:name w:val="Light List Accent 2"/>
    <w:basedOn w:val="a1"/>
    <w:uiPriority w:val="61"/>
    <w:rsid w:val="00CA3598"/>
    <w:pPr>
      <w:spacing w:after="0" w:line="240" w:lineRule="auto"/>
    </w:pPr>
    <w:rPr>
      <w:sz w:val="24"/>
      <w:szCs w:val="24"/>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d">
    <w:name w:val="Quote"/>
    <w:basedOn w:val="a"/>
    <w:next w:val="a"/>
    <w:link w:val="Char3"/>
    <w:uiPriority w:val="29"/>
    <w:qFormat/>
    <w:rsid w:val="00C94705"/>
    <w:pPr>
      <w:spacing w:before="200" w:after="160"/>
      <w:ind w:left="864" w:right="864"/>
      <w:jc w:val="center"/>
    </w:pPr>
    <w:rPr>
      <w:i/>
      <w:iCs/>
      <w:color w:val="404040" w:themeColor="text1" w:themeTint="BF"/>
    </w:rPr>
  </w:style>
  <w:style w:type="character" w:customStyle="1" w:styleId="Char3">
    <w:name w:val="Απόσπασμα Char"/>
    <w:basedOn w:val="a0"/>
    <w:link w:val="ad"/>
    <w:uiPriority w:val="29"/>
    <w:rsid w:val="00C94705"/>
    <w:rPr>
      <w:i/>
      <w:iCs/>
      <w:color w:val="404040" w:themeColor="text1" w:themeTint="BF"/>
    </w:rPr>
  </w:style>
  <w:style w:type="paragraph" w:styleId="ae">
    <w:name w:val="No Spacing"/>
    <w:link w:val="Char4"/>
    <w:uiPriority w:val="1"/>
    <w:qFormat/>
    <w:rsid w:val="00903A78"/>
    <w:pPr>
      <w:spacing w:after="0" w:line="240" w:lineRule="auto"/>
    </w:pPr>
    <w:rPr>
      <w:lang w:val="en-US" w:eastAsia="en-US"/>
    </w:rPr>
  </w:style>
  <w:style w:type="character" w:customStyle="1" w:styleId="Char4">
    <w:name w:val="Χωρίς διάστιχο Char"/>
    <w:basedOn w:val="a0"/>
    <w:link w:val="ae"/>
    <w:uiPriority w:val="1"/>
    <w:rsid w:val="00903A78"/>
    <w:rPr>
      <w:lang w:val="en-US" w:eastAsia="en-US"/>
    </w:rPr>
  </w:style>
</w:styles>
</file>

<file path=word/webSettings.xml><?xml version="1.0" encoding="utf-8"?>
<w:webSettings xmlns:r="http://schemas.openxmlformats.org/officeDocument/2006/relationships" xmlns:w="http://schemas.openxmlformats.org/wordprocessingml/2006/main">
  <w:divs>
    <w:div w:id="959990359">
      <w:bodyDiv w:val="1"/>
      <w:marLeft w:val="0"/>
      <w:marRight w:val="0"/>
      <w:marTop w:val="0"/>
      <w:marBottom w:val="0"/>
      <w:divBdr>
        <w:top w:val="none" w:sz="0" w:space="0" w:color="auto"/>
        <w:left w:val="none" w:sz="0" w:space="0" w:color="auto"/>
        <w:bottom w:val="none" w:sz="0" w:space="0" w:color="auto"/>
        <w:right w:val="none" w:sz="0" w:space="0" w:color="auto"/>
      </w:divBdr>
    </w:div>
    <w:div w:id="1155995294">
      <w:bodyDiv w:val="1"/>
      <w:marLeft w:val="0"/>
      <w:marRight w:val="0"/>
      <w:marTop w:val="0"/>
      <w:marBottom w:val="0"/>
      <w:divBdr>
        <w:top w:val="none" w:sz="0" w:space="0" w:color="auto"/>
        <w:left w:val="none" w:sz="0" w:space="0" w:color="auto"/>
        <w:bottom w:val="none" w:sz="0" w:space="0" w:color="auto"/>
        <w:right w:val="none" w:sz="0" w:space="0" w:color="auto"/>
      </w:divBdr>
    </w:div>
    <w:div w:id="14970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udoc.echr.coe.int/eng?i=001-154400" TargetMode="External"/><Relationship Id="rId18" Type="http://schemas.openxmlformats.org/officeDocument/2006/relationships/hyperlink" Target="http://hudoc.echr.coe.int/eng?i=001-102252" TargetMode="External"/><Relationship Id="rId26" Type="http://schemas.openxmlformats.org/officeDocument/2006/relationships/hyperlink" Target="http://www.un.org/en/universal-declaration-human-rights/" TargetMode="External"/><Relationship Id="rId39" Type="http://schemas.openxmlformats.org/officeDocument/2006/relationships/hyperlink" Target="http://www.coe.int/t/dghl/monitoring/ecri/activities/GPR/EN/Recommendation_N5/default_en.asp" TargetMode="External"/><Relationship Id="rId21" Type="http://schemas.openxmlformats.org/officeDocument/2006/relationships/hyperlink" Target="http://hudoc.echr.coe.int/eng?i=001-146769" TargetMode="External"/><Relationship Id="rId34" Type="http://schemas.openxmlformats.org/officeDocument/2006/relationships/image" Target="media/image1.jpeg"/><Relationship Id="rId42" Type="http://schemas.openxmlformats.org/officeDocument/2006/relationships/hyperlink" Target="http://www.coe.int/t/dghl/monitoring/ecri/activities/GPR/EN/Recommendation_N8/default_en.asp" TargetMode="External"/><Relationship Id="rId47" Type="http://schemas.openxmlformats.org/officeDocument/2006/relationships/hyperlink" Target="http://www.coe.int/t/dghl/monitoring/ecri/activities/GPR/EN/Recommendation_N13/default_en.asp" TargetMode="External"/><Relationship Id="rId50" Type="http://schemas.openxmlformats.org/officeDocument/2006/relationships/hyperlink" Target="http://www.coe.int/t/dghl/monitoring/ecri/activities/GPR/EN/Recommendation_N16/default_en.asp" TargetMode="External"/><Relationship Id="rId55" Type="http://schemas.openxmlformats.org/officeDocument/2006/relationships/hyperlink" Target="https://www.osce.org/odihr/Muslims" TargetMode="External"/><Relationship Id="rId63" Type="http://schemas.openxmlformats.org/officeDocument/2006/relationships/hyperlink" Target="http://fra.europa.eu/en/publication/2012/hate-crime-european-union" TargetMode="External"/><Relationship Id="rId68" Type="http://schemas.openxmlformats.org/officeDocument/2006/relationships/hyperlink" Target="http://www.internationalhatestudies.com/common-european-hate-crime-grounds-can-we-find-them/" TargetMode="External"/><Relationship Id="rId76" Type="http://schemas.openxmlformats.org/officeDocument/2006/relationships/hyperlink" Target="http://www.refworld.org/docid/3ae6b3712c.html" TargetMode="External"/><Relationship Id="rId7" Type="http://schemas.openxmlformats.org/officeDocument/2006/relationships/footnotes" Target="footnotes.xml"/><Relationship Id="rId71" Type="http://schemas.openxmlformats.org/officeDocument/2006/relationships/hyperlink" Target="http://addresshatecrime.eu/materialdocs/OSCE%20Guides/ODIHR%20and%20hate%20crime.pdf" TargetMode="External"/><Relationship Id="rId2" Type="http://schemas.openxmlformats.org/officeDocument/2006/relationships/customXml" Target="../customXml/item2.xml"/><Relationship Id="rId16" Type="http://schemas.openxmlformats.org/officeDocument/2006/relationships/hyperlink" Target="http://hudoc.echr.coe.int/eng?i=001-170391" TargetMode="External"/><Relationship Id="rId29" Type="http://schemas.openxmlformats.org/officeDocument/2006/relationships/hyperlink" Target="https://www.echr.coe.int/Documents/Convention_ENG.pdf" TargetMode="External"/><Relationship Id="rId11" Type="http://schemas.openxmlformats.org/officeDocument/2006/relationships/hyperlink" Target="http://hudoc.echr.coe.int/eng?i=001-172327" TargetMode="External"/><Relationship Id="rId24" Type="http://schemas.openxmlformats.org/officeDocument/2006/relationships/hyperlink" Target="http://hudoc.echr.coe.int/eng" TargetMode="External"/><Relationship Id="rId32" Type="http://schemas.openxmlformats.org/officeDocument/2006/relationships/hyperlink" Target="http://eur-lex.europa.eu/legal-content/EN/AUTO/?uri=celex:31996F0443" TargetMode="External"/><Relationship Id="rId37" Type="http://schemas.openxmlformats.org/officeDocument/2006/relationships/hyperlink" Target="http://www.coe.int/t/dghl/monitoring/ecri/activities/GPR/EN/Recommendation_N3/default_en.asp" TargetMode="External"/><Relationship Id="rId40" Type="http://schemas.openxmlformats.org/officeDocument/2006/relationships/hyperlink" Target="http://www.coe.int/t/dghl/monitoring/ecri/activities/GPR/EN/Recommendation_N6/default_en.asp" TargetMode="External"/><Relationship Id="rId45" Type="http://schemas.openxmlformats.org/officeDocument/2006/relationships/hyperlink" Target="http://www.coe.int/t/dghl/monitoring/ecri/activities/GPR/EN/Recommendation_N11/default_en.asp" TargetMode="External"/><Relationship Id="rId53" Type="http://schemas.openxmlformats.org/officeDocument/2006/relationships/hyperlink" Target="http://www.osce.org/pc/35610" TargetMode="External"/><Relationship Id="rId58" Type="http://schemas.openxmlformats.org/officeDocument/2006/relationships/hyperlink" Target="http://hatecrime.osce.org/" TargetMode="External"/><Relationship Id="rId66" Type="http://schemas.openxmlformats.org/officeDocument/2006/relationships/hyperlink" Target="http://fra.europa.eu/en/theme/hate-crime/compendium-practices" TargetMode="External"/><Relationship Id="rId74" Type="http://schemas.openxmlformats.org/officeDocument/2006/relationships/hyperlink" Target="http://hatecrime.osce.org/what-hate-crime" TargetMode="External"/><Relationship Id="rId79" Type="http://schemas.microsoft.com/office/2007/relationships/stylesWithEffects" Target="stylesWithEffects.xml"/><Relationship Id="rId5" Type="http://schemas.openxmlformats.org/officeDocument/2006/relationships/settings" Target="settings.xml"/><Relationship Id="rId61" Type="http://schemas.openxmlformats.org/officeDocument/2006/relationships/hyperlink" Target="http://www.echr.coe.int/Documents/FS_Racial_discrimination_ENG.pdf" TargetMode="External"/><Relationship Id="rId10" Type="http://schemas.openxmlformats.org/officeDocument/2006/relationships/hyperlink" Target="http://hudoc.echr.coe.int/eng?i=001-102252" TargetMode="External"/><Relationship Id="rId19" Type="http://schemas.openxmlformats.org/officeDocument/2006/relationships/hyperlink" Target="http://hudoc.echr.coe.int/eng-press" TargetMode="External"/><Relationship Id="rId31" Type="http://schemas.openxmlformats.org/officeDocument/2006/relationships/hyperlink" Target="http://eur-lex.europa.eu/legal-content/EN/AUTO/?uri=uriserv:l33058" TargetMode="External"/><Relationship Id="rId44" Type="http://schemas.openxmlformats.org/officeDocument/2006/relationships/hyperlink" Target="http://www.coe.int/t/dghl/monitoring/ecri/activities/GPR/EN/Recommendation_N10/default_en.asp" TargetMode="External"/><Relationship Id="rId52" Type="http://schemas.openxmlformats.org/officeDocument/2006/relationships/hyperlink" Target="http://www.osce.org/mc/19382" TargetMode="External"/><Relationship Id="rId60" Type="http://schemas.openxmlformats.org/officeDocument/2006/relationships/hyperlink" Target="http://ejce.berkeley.edu/report-incident/what-hate-crime" TargetMode="External"/><Relationship Id="rId65" Type="http://schemas.openxmlformats.org/officeDocument/2006/relationships/hyperlink" Target="http://fra.europa.eu/sites/default/files/fra_uploads/fra-2016-november-monthly-focus-hate-crime_en.pdf" TargetMode="External"/><Relationship Id="rId73" Type="http://schemas.openxmlformats.org/officeDocument/2006/relationships/hyperlink" Target="http://www.osce.org/odihr/313306?download=true"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hudoc.echr.coe.int/eng?i=001-170391" TargetMode="External"/><Relationship Id="rId14" Type="http://schemas.openxmlformats.org/officeDocument/2006/relationships/hyperlink" Target="http://hudoc.echr.coe.int/eng?i=001-170391" TargetMode="External"/><Relationship Id="rId22" Type="http://schemas.openxmlformats.org/officeDocument/2006/relationships/hyperlink" Target="http://hudoc.echr.coe.int/eng" TargetMode="External"/><Relationship Id="rId27" Type="http://schemas.openxmlformats.org/officeDocument/2006/relationships/hyperlink" Target="http://www.ohchr.org/EN/ProfessionalInterest/Pages/CCPR.aspx" TargetMode="External"/><Relationship Id="rId30" Type="http://schemas.openxmlformats.org/officeDocument/2006/relationships/hyperlink" Target="http://eur-lex.europa.eu/legal-content/EN/TXT/?uri=celex:32008F0913" TargetMode="External"/><Relationship Id="rId35" Type="http://schemas.openxmlformats.org/officeDocument/2006/relationships/hyperlink" Target="http://www.coe.int/t/dghl/monitoring/ecri/activities/GPR/EN/Recommendation_N1/default_en.asp" TargetMode="External"/><Relationship Id="rId43" Type="http://schemas.openxmlformats.org/officeDocument/2006/relationships/hyperlink" Target="http://www.coe.int/t/dghl/monitoring/ecri/activities/GPR/EN/Recommendation_N9/default_en.asp" TargetMode="External"/><Relationship Id="rId48" Type="http://schemas.openxmlformats.org/officeDocument/2006/relationships/hyperlink" Target="http://www.coe.int/t/dghl/monitoring/ecri/activities/GPR/EN/Recommendation_N14/default_en.asp" TargetMode="External"/><Relationship Id="rId56" Type="http://schemas.openxmlformats.org/officeDocument/2006/relationships/hyperlink" Target="http://www.osce.org/odihr/antisemitism" TargetMode="External"/><Relationship Id="rId64" Type="http://schemas.openxmlformats.org/officeDocument/2006/relationships/hyperlink" Target="http://fra.europa.eu/en/publication/2016/ensuring-justice-hate-crime-victims-professional-perspectives" TargetMode="External"/><Relationship Id="rId69" Type="http://schemas.openxmlformats.org/officeDocument/2006/relationships/hyperlink" Target="http://www.scielo.org.za/scielo.php?script=sci_arttext&amp;pid=S1021-545X2016000100004"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oe.int/t/dghl/monitoring/ecri/activities/22-Freedom_of_expression_Seminar_2006/NSBR2006_proceedings_en.pdf" TargetMode="External"/><Relationship Id="rId72" Type="http://schemas.openxmlformats.org/officeDocument/2006/relationships/hyperlink" Target="http://www.osce.org/odihr/prosecutorsguide?download=true" TargetMode="External"/><Relationship Id="rId3" Type="http://schemas.openxmlformats.org/officeDocument/2006/relationships/numbering" Target="numbering.xml"/><Relationship Id="rId12" Type="http://schemas.openxmlformats.org/officeDocument/2006/relationships/hyperlink" Target="http://hudoc.echr.coe.int/eng?i=001-172327" TargetMode="External"/><Relationship Id="rId17" Type="http://schemas.openxmlformats.org/officeDocument/2006/relationships/hyperlink" Target="http://hudoc.echr.coe.int/eng?i=001-85308" TargetMode="External"/><Relationship Id="rId25" Type="http://schemas.openxmlformats.org/officeDocument/2006/relationships/hyperlink" Target="http://hudoc.echr.coe.int/eng" TargetMode="External"/><Relationship Id="rId33" Type="http://schemas.openxmlformats.org/officeDocument/2006/relationships/hyperlink" Target="http://eur-lex.europa.eu/legal-content/EN/AUTO/?uri=celex:52014DC0027" TargetMode="External"/><Relationship Id="rId38" Type="http://schemas.openxmlformats.org/officeDocument/2006/relationships/hyperlink" Target="http://www.coe.int/t/dghl/monitoring/ecri/activities/GPR/EN/Recommendation_N4/default_en.asp" TargetMode="External"/><Relationship Id="rId46" Type="http://schemas.openxmlformats.org/officeDocument/2006/relationships/hyperlink" Target="http://www.coe.int/t/dghl/monitoring/ecri/activities/GPR/EN/Recommendation_N12/default_en.asp" TargetMode="External"/><Relationship Id="rId59" Type="http://schemas.openxmlformats.org/officeDocument/2006/relationships/hyperlink" Target="https://www.osce.org/odihr/tandis" TargetMode="External"/><Relationship Id="rId67" Type="http://schemas.openxmlformats.org/officeDocument/2006/relationships/hyperlink" Target="http://journals.sagepub.com/doi/abs/10.1177/00027640121957420" TargetMode="External"/><Relationship Id="rId20" Type="http://schemas.openxmlformats.org/officeDocument/2006/relationships/hyperlink" Target="http://hudoc.echr.coe.int/eng" TargetMode="External"/><Relationship Id="rId41" Type="http://schemas.openxmlformats.org/officeDocument/2006/relationships/hyperlink" Target="http://www.coe.int/t/dghl/monitoring/ecri/activities/GPR/EN/Recommendation_N7/default_en.asp" TargetMode="External"/><Relationship Id="rId54" Type="http://schemas.openxmlformats.org/officeDocument/2006/relationships/hyperlink" Target="http://www.osce.org/cio/40695" TargetMode="External"/><Relationship Id="rId62" Type="http://schemas.openxmlformats.org/officeDocument/2006/relationships/hyperlink" Target="https://www.equalityhumanrights.com/sites/default/files/research-report-102-causes-and-motivations-of-hate-crime.pdf" TargetMode="External"/><Relationship Id="rId70" Type="http://schemas.openxmlformats.org/officeDocument/2006/relationships/hyperlink" Target="http://www.osce.org/odihr/36426" TargetMode="External"/><Relationship Id="rId75" Type="http://schemas.openxmlformats.org/officeDocument/2006/relationships/hyperlink" Target="https://www.theguardian.com/society/2017/jun/20/anti-muslim-hate-surges-after-manchester-and-london-bridge-attack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udoc.echr.coe.int/eng?i=001-69630" TargetMode="External"/><Relationship Id="rId23" Type="http://schemas.openxmlformats.org/officeDocument/2006/relationships/hyperlink" Target="http://hudoc.echr.coe.int/eng?i=001-112322" TargetMode="External"/><Relationship Id="rId28" Type="http://schemas.openxmlformats.org/officeDocument/2006/relationships/hyperlink" Target="http://www.ohchr.org/EN/ProfessionalInterest/Pages/CERD.aspx" TargetMode="External"/><Relationship Id="rId36" Type="http://schemas.openxmlformats.org/officeDocument/2006/relationships/hyperlink" Target="http://www.coe.int/t/dghl/monitoring/ecri/activities/GPR/EN/Recommendation_N2/default_en.asp" TargetMode="External"/><Relationship Id="rId49" Type="http://schemas.openxmlformats.org/officeDocument/2006/relationships/hyperlink" Target="http://www.coe.int/t/dghl/monitoring/ecri/activities/GPR/EN/Recommendation_N15/default_en.asp" TargetMode="External"/><Relationship Id="rId57" Type="http://schemas.openxmlformats.org/officeDocument/2006/relationships/hyperlink" Target="https://www.osce.org/odihr/racis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sce.org/odihr/313306?download=true" TargetMode="External"/><Relationship Id="rId13" Type="http://schemas.openxmlformats.org/officeDocument/2006/relationships/hyperlink" Target="http://www.osce.org/odihr/prosecutorsguide?download=true" TargetMode="External"/><Relationship Id="rId18" Type="http://schemas.openxmlformats.org/officeDocument/2006/relationships/hyperlink" Target="http://indicators.ohchr.org/" TargetMode="External"/><Relationship Id="rId26" Type="http://schemas.openxmlformats.org/officeDocument/2006/relationships/hyperlink" Target="http://fra.europa.eu/en/publication/2016/ensuring-justice-hate-crime-victims-professional-perspectives" TargetMode="External"/><Relationship Id="rId3" Type="http://schemas.openxmlformats.org/officeDocument/2006/relationships/hyperlink" Target="https://www.equalityhumanrights.com/sites/default/files/research-report-102-causes-and-motivations-of-hate-crime.pdf" TargetMode="External"/><Relationship Id="rId21" Type="http://schemas.openxmlformats.org/officeDocument/2006/relationships/hyperlink" Target="http://www.ohchr.org/EN/HRBodies/CCPR/Pages/CCPRIndex.aspx" TargetMode="External"/><Relationship Id="rId7" Type="http://schemas.openxmlformats.org/officeDocument/2006/relationships/hyperlink" Target="http://www.scielo.org.za/scielo.php?script=sci_arttext&amp;pid=S1021-545X2016000100004" TargetMode="External"/><Relationship Id="rId12" Type="http://schemas.openxmlformats.org/officeDocument/2006/relationships/hyperlink" Target="http://hatecrime.osce.org/what-hate-crime" TargetMode="External"/><Relationship Id="rId17" Type="http://schemas.openxmlformats.org/officeDocument/2006/relationships/hyperlink" Target="http://fra.europa.eu/en/publication/2012/hate-crime-european-union" TargetMode="External"/><Relationship Id="rId25" Type="http://schemas.openxmlformats.org/officeDocument/2006/relationships/hyperlink" Target="http://www.consilium.europa.eu/uedocs/cms_data/docs/pressdata/en/jha/139949.pdf" TargetMode="External"/><Relationship Id="rId2" Type="http://schemas.openxmlformats.org/officeDocument/2006/relationships/hyperlink" Target="http://www.osce.org/odihr/36426" TargetMode="External"/><Relationship Id="rId16" Type="http://schemas.openxmlformats.org/officeDocument/2006/relationships/hyperlink" Target="http://fra.europa.eu/en/theme/hate-crime/compendium-practices" TargetMode="External"/><Relationship Id="rId20" Type="http://schemas.openxmlformats.org/officeDocument/2006/relationships/hyperlink" Target="http://indicators.ohchr.org/" TargetMode="External"/><Relationship Id="rId1" Type="http://schemas.openxmlformats.org/officeDocument/2006/relationships/hyperlink" Target="http://www.refworld.org/docid/3ae6b3712c.html" TargetMode="External"/><Relationship Id="rId6" Type="http://schemas.openxmlformats.org/officeDocument/2006/relationships/hyperlink" Target="http://journals.sagepub.com/doi/abs/10.1177/00027640121957420" TargetMode="External"/><Relationship Id="rId11" Type="http://schemas.openxmlformats.org/officeDocument/2006/relationships/hyperlink" Target="http://fra.europa.eu/en/publication/2016/ensuring-justice-hate-crime-victims-professional-perspectives" TargetMode="External"/><Relationship Id="rId24" Type="http://schemas.openxmlformats.org/officeDocument/2006/relationships/hyperlink" Target="http://hrlibrary.umn.edu/research/bulgaria/Angelova_and_Iliev_en1.pdf" TargetMode="External"/><Relationship Id="rId5" Type="http://schemas.openxmlformats.org/officeDocument/2006/relationships/hyperlink" Target="http://addresshatecrime.eu/materialdocs/OSCE%20Guides/ODIHR%20and%20hate%20crime.pdf" TargetMode="External"/><Relationship Id="rId15" Type="http://schemas.openxmlformats.org/officeDocument/2006/relationships/hyperlink" Target="http://fra.europa.eu/sites/default/files/fra_uploads/fra-2016-november-monthly-focus-hate-crime_en.pdf" TargetMode="External"/><Relationship Id="rId23" Type="http://schemas.openxmlformats.org/officeDocument/2006/relationships/hyperlink" Target="http://www.osce.org/odihr/prosecutorsguide" TargetMode="External"/><Relationship Id="rId10" Type="http://schemas.openxmlformats.org/officeDocument/2006/relationships/hyperlink" Target="http://ejce.berkeley.edu/report-incident/what-hate-crime" TargetMode="External"/><Relationship Id="rId19" Type="http://schemas.openxmlformats.org/officeDocument/2006/relationships/hyperlink" Target="http://www.ohchr.org/EN/HRBodies/CCPR/Pages/CCPRIndex.aspx" TargetMode="External"/><Relationship Id="rId4" Type="http://schemas.openxmlformats.org/officeDocument/2006/relationships/hyperlink" Target="https://www.theguardian.com/society/2017/jun/20/anti-muslim-hate-surges-after-manchester-and-london-bridge-attacks" TargetMode="External"/><Relationship Id="rId9" Type="http://schemas.openxmlformats.org/officeDocument/2006/relationships/hyperlink" Target="http://www.internationalhatestudies.com/common-european-hate-crime-grounds-can-we-find-them/" TargetMode="External"/><Relationship Id="rId14" Type="http://schemas.openxmlformats.org/officeDocument/2006/relationships/hyperlink" Target="http://www.echr.coe.int/Documents/FS_Racial_discrimination_ENG.pdf" TargetMode="External"/><Relationship Id="rId22" Type="http://schemas.openxmlformats.org/officeDocument/2006/relationships/hyperlink" Target="https://www.amnesty.org/en/documents/IOR52/001/2013/en/" TargetMode="External"/><Relationship Id="rId27" Type="http://schemas.openxmlformats.org/officeDocument/2006/relationships/hyperlink" Target="http://www.coe.int/t/dghl/monitoring/ecri/library/publications.as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HATE CRIMES.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36C950-837E-4936-9A70-1DA03570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11139</Words>
  <Characters>76865</Characters>
  <Application>Microsoft Office Word</Application>
  <DocSecurity>0</DocSecurity>
  <Lines>640</Lines>
  <Paragraphs>175</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HATE CRIMES</vt:lpstr>
      <vt:lpstr/>
      <vt:lpstr/>
    </vt:vector>
  </TitlesOfParts>
  <Company/>
  <LinksUpToDate>false</LinksUpToDate>
  <CharactersWithSpaces>87829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CRIMES</dc:title>
  <dc:subject>TRAINING MODULE</dc:subject>
  <dc:creator>GREEK COUNCIL FOR REFUGEES</dc:creator>
  <cp:lastModifiedBy>Kirs Eszter</cp:lastModifiedBy>
  <cp:revision>2</cp:revision>
  <dcterms:created xsi:type="dcterms:W3CDTF">2018-04-18T13:01:00Z</dcterms:created>
  <dcterms:modified xsi:type="dcterms:W3CDTF">2018-04-18T13:01:00Z</dcterms:modified>
</cp:coreProperties>
</file>